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200"/>
        <w:jc w:val="center"/>
      </w:pPr>
      <w:r>
        <w:rPr>
          <w:rFonts w:ascii="Calibri" w:cs="Calibri" w:eastAsia="Calibri" w:hAnsi="Calibri"/>
          <w:b/>
          <w:bCs/>
          <w:color w:val="92400E"/>
          <w:sz w:val="72"/>
          <w:szCs w:val="72"/>
        </w:rPr>
        <w:t xml:space="preserve">TASc6</w:t>
      </w:r>
    </w:p>
    <w:p>
      <w:pPr>
        <w:spacing w:after="60" w:before="120"/>
        <w:jc w:val="center"/>
      </w:pPr>
      <w:r>
        <w:rPr>
          <w:rFonts w:ascii="Calibri" w:cs="Calibri" w:eastAsia="Calibri" w:hAnsi="Calibri"/>
          <w:color w:val="4B5563"/>
          <w:sz w:val="28"/>
          <w:szCs w:val="28"/>
        </w:rPr>
        <w:t xml:space="preserve">Trailer Allocation Service Coordinator</w:t>
      </w:r>
    </w:p>
    <w:p>
      <w:pPr>
        <w:spacing w:after="1600" w:before="0"/>
        <w:jc w:val="center"/>
      </w:pPr>
      <w:r>
        <w:rPr>
          <w:rFonts w:ascii="Calibri" w:cs="Calibri" w:eastAsia="Calibri" w:hAnsi="Calibri"/>
          <w:b/>
          <w:bCs/>
          <w:color w:val="1F2937"/>
          <w:sz w:val="40"/>
          <w:szCs w:val="40"/>
        </w:rPr>
        <w:t xml:space="preserve">Benutzerhandbuch</w:t>
      </w:r>
    </w:p>
    <w:p>
      <w:pPr>
        <w:spacing w:after="80"/>
        <w:jc w:val="center"/>
      </w:pPr>
      <w:r>
        <w:rPr>
          <w:rFonts w:ascii="Calibri" w:cs="Calibri" w:eastAsia="Calibri" w:hAnsi="Calibri"/>
          <w:color w:val="4B5563"/>
          <w:sz w:val="20"/>
          <w:szCs w:val="20"/>
        </w:rPr>
        <w:t xml:space="preserve">Behandelt Installation, Standorteinrichtung und jede Rolle: Admin, Planner,</w:t>
      </w:r>
    </w:p>
    <w:p>
      <w:pPr>
        <w:spacing w:after="800"/>
        <w:jc w:val="center"/>
      </w:pPr>
      <w:r>
        <w:rPr>
          <w:rFonts w:ascii="Calibri" w:cs="Calibri" w:eastAsia="Calibri" w:hAnsi="Calibri"/>
          <w:color w:val="4B5563"/>
          <w:sz w:val="20"/>
          <w:szCs w:val="20"/>
        </w:rPr>
        <w:t xml:space="preserve">Loader, Dekit, Shunter, Dispatch, Security, Fleet und VMU.</w:t>
      </w:r>
    </w:p>
    <w:p>
      <w:pPr>
        <w:spacing w:after="40"/>
        <w:jc w:val="center"/>
      </w:pPr>
      <w:r>
        <w:rPr>
          <w:rFonts w:ascii="Calibri" w:cs="Calibri" w:eastAsia="Calibri" w:hAnsi="Calibri"/>
          <w:color w:val="4B5563"/>
          <w:sz w:val="20"/>
          <w:szCs w:val="20"/>
        </w:rPr>
        <w:t xml:space="preserve">TASc6 Ltd</w:t>
      </w:r>
    </w:p>
    <w:p>
      <w:pPr>
        <w:jc w:val="center"/>
      </w:pPr>
      <w:r>
        <w:rPr>
          <w:rFonts w:ascii="Calibri" w:cs="Calibri" w:eastAsia="Calibri" w:hAnsi="Calibri"/>
          <w:color w:val="4B5563"/>
          <w:sz w:val="20"/>
          <w:szCs w:val="20"/>
        </w:rPr>
        <w:t xml:space="preserve">info@tasc6.net  ·  tasc6.net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Inhaltsverzeichnis</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color w:val="4B5563"/>
          <w:sz w:val="22"/>
          <w:szCs w:val="22"/>
        </w:rPr>
        <w:t xml:space="preserve">Klicken Sie mit rechts auf dieses Verzeichnis und wählen Sie „Felder aktualisieren“ (oder drücken Sie F9), um die Seitenzahlen einzutragen.</w:t>
      </w:r>
    </w:p>
    <w:sdt>
      <w:sdtPr>
        <w:alias w:val="Contents"/>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 Einführung</w:t>
      </w:r>
    </w:p>
    <w:p>
      <w:pPr>
        <w:spacing w:after="200" w:line="300"/>
      </w:pPr>
      <w:r>
        <w:rPr>
          <w:rFonts w:ascii="Calibri" w:cs="Calibri" w:eastAsia="Calibri" w:hAnsi="Calibri"/>
          <w:color w:val="1F2937"/>
          <w:sz w:val="22"/>
          <w:szCs w:val="22"/>
        </w:rPr>
        <w:t xml:space="preserve">TASc6 ersetzt Whiteboards, Funkgeräte und Tabellen durch eine einzige Live-Ansicht jedes Stellplatzes, jedes Trailers und jeder Bewegung in Ihrem Depot. Alle, die mit einem Trailer zu tun haben — wer ihn belädt, wer ihn durchs Depot fährt, wer ihn an der Pforte einbucht, wer ihn auf Route schickt — sehen dieselben Live-Daten, auf einem Bildschirm, der für ihre eigene Aufgabe gebaut ist.</w:t>
      </w:r>
    </w:p>
    <w:p>
      <w:pPr>
        <w:spacing w:after="200" w:line="300"/>
      </w:pPr>
      <w:r>
        <w:rPr>
          <w:rFonts w:ascii="Calibri" w:cs="Calibri" w:eastAsia="Calibri" w:hAnsi="Calibri"/>
          <w:color w:val="1F2937"/>
          <w:sz w:val="22"/>
          <w:szCs w:val="22"/>
        </w:rPr>
        <w:t xml:space="preserve">Statt eines einzigen Bildschirms, der alles können soll, gibt TASc6 jeder Rolle genau das, was sie braucht, und nichts weiter: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1800"/>
        <w:gridCol w:w="5600"/>
        <w:gridCol w:w="2238"/>
      </w:tblGrid>
      <w:tr>
        <w:trPr>
          <w:tblHeader/>
        </w:trPr>
        <w:tc>
          <w:tcPr>
            <w:tcW w:type="dxa" w:w="18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Rolle</w:t>
            </w:r>
          </w:p>
        </w:tc>
        <w:tc>
          <w:tcPr>
            <w:tcW w:type="dxa" w:w="5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Aufgabe</w:t>
            </w:r>
          </w:p>
        </w:tc>
        <w:tc>
          <w:tcPr>
            <w:tcW w:type="dxa" w:w="22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Typisches Gerät</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Admin</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Richtet Standorte, Benutzer, Trailer, Lkw, Stellplätze und Backups ein.</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Planner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Definiert Lieferstandorte und Stellplatzbeschränkungen und erstellt die Tagesrouten.</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Loader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Weist Trailern Stellplätze zu und markiert Beladungen als abgeschlossen.</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Leert zurückkehrende Trailer, die mit alter Ware oder Verpackung zurückkamen.</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Shunter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Bewegt Trailer im Depot von einem Tablet in der Kabine aus.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Tablet (in der Kabine)</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Dispatch</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Weist einem beladenen Trailer vor der Abfahrt Fahrer und Lkw zu.</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Security</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Bucht jeden Trailer an der Pforte ein und aus.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 (Pförtnerhaus)</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Fleet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Pflegt den Pool aus Lkw und Trailern und meldet sie als außer Betrieb (VOR).</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VMU</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Gibt Lkw und Trailer nach der Reparatur wieder in den Betrieb frei.</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bl>
    <w:p>
      <w:pPr>
        <w:spacing w:after="200" w:line="300"/>
      </w:pPr>
      <w:r>
        <w:rPr>
          <w:rFonts w:ascii="Calibri" w:cs="Calibri" w:eastAsia="Calibri" w:hAnsi="Calibri"/>
          <w:color w:val="1F2937"/>
          <w:sz w:val="22"/>
          <w:szCs w:val="22"/>
        </w:rPr>
        <w:t xml:space="preserve">Dieses Handbuch hat vier Teile: die Installation von TASc6, die Einrichtung von Netzwerk und Geräten Ihres Standorts, je ein Kapitel für jede der obigen Rollen und am Ende ein Kapitel zur Fehlerbehebung.</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Hinweis.  </w:t>
      </w:r>
      <w:r>
        <w:rPr>
          <w:rFonts w:ascii="Calibri" w:cs="Calibri" w:eastAsia="Calibri" w:hAnsi="Calibri"/>
          <w:color w:val="4B5563"/>
          <w:sz w:val="22"/>
          <w:szCs w:val="22"/>
        </w:rPr>
        <w:t xml:space="preserve"> Bildschirme aktualisieren sich im selben Moment, in dem sich anderswo etwas ändert — es gibt keine Schaltfläche zum Neuladen, und man braucht auch keine.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2. TASc6 installieren</w:t>
      </w:r>
    </w:p>
    <w:p>
      <w:pPr>
        <w:pStyle w:val="Heading2"/>
        <w:spacing w:after="160" w:before="360"/>
      </w:pPr>
      <w:r>
        <w:rPr>
          <w:rFonts w:ascii="Calibri" w:cs="Calibri" w:eastAsia="Calibri" w:hAnsi="Calibri"/>
          <w:b/>
          <w:bCs/>
          <w:color w:val="1F2937"/>
          <w:sz w:val="27"/>
          <w:szCs w:val="27"/>
        </w:rPr>
        <w:t xml:space="preserve">2.1 Bevor Sie beginnen</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Voraussetzung</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Details</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Betriebssystem</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Windows 10, Windows 11 oder Windows Server (64 Bit)</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Berechtigungen</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Administratorrechte auf dem Rechner, auf dem installiert wird</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Speicherplatz</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Etwa 500 MB frei — TASc6 bringt eine eigene Kopie von Node.js mit, vorab muss nichts anderes installiert werden</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Netzwerk</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Für die Einrichtung ist keine Internetverbindung nötig</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Port</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Port 3000 auf dem Rechner frei (kann später geändert werden, falls er mit etwas anderem kollidiert)</w:t>
            </w:r>
          </w:p>
        </w:tc>
      </w:tr>
    </w:tbl>
    <w:p>
      <w:pPr>
        <w:pStyle w:val="Heading2"/>
        <w:spacing w:after="160" w:before="360"/>
      </w:pPr>
      <w:r>
        <w:rPr>
          <w:rFonts w:ascii="Calibri" w:cs="Calibri" w:eastAsia="Calibri" w:hAnsi="Calibri"/>
          <w:b/>
          <w:bCs/>
          <w:color w:val="1F2937"/>
          <w:sz w:val="27"/>
          <w:szCs w:val="27"/>
        </w:rPr>
        <w:t xml:space="preserve">2.2 Das passende Installationsprogramm wählen</w:t>
      </w:r>
    </w:p>
    <w:p>
      <w:pPr>
        <w:spacing w:after="200" w:line="300"/>
      </w:pPr>
      <w:r>
        <w:rPr>
          <w:rFonts w:ascii="Calibri" w:cs="Calibri" w:eastAsia="Calibri" w:hAnsi="Calibri"/>
          <w:color w:val="1F2937"/>
          <w:sz w:val="22"/>
          <w:szCs w:val="22"/>
        </w:rPr>
        <w:t xml:space="preserve">Beide Installationsprogramme enthalten dieselbe Anwendung — wählen Sie das, das zur Anzahl der benötigten Standorte passt. Wenn Sie unsicher sind, nehmen Sie Multi Site: Es funktioniert auch, wenn Sie zunächst nur einen Standort nutzen wollen.</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Installationsprogramm</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Verwenden Sie es, wenn…</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TASc6-Setup.exe (Multi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Sie mehr als einen verbundenen Standort betreiben oder irgendwann betreiben könnten. Wird mit 2 Standorten geliefert — einen dritten fügen Sie jederzeit über Admin hinzu.</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TASc6-SingleSite-Setup.exe (Single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Sie immer nur einen Standort brauchen. Komplett vorkonfiguriert mit Stellplätzen, sofort startklar.</w:t>
            </w:r>
          </w:p>
        </w:tc>
      </w:tr>
    </w:tbl>
    <w:p>
      <w:pPr>
        <w:spacing w:after="200" w:line="300"/>
      </w:pPr>
      <w:r>
        <w:rPr>
          <w:rFonts w:ascii="Calibri" w:cs="Calibri" w:eastAsia="Calibri" w:hAnsi="Calibri"/>
          <w:color w:val="1F2937"/>
          <w:sz w:val="22"/>
          <w:szCs w:val="22"/>
        </w:rPr>
        <w:t xml:space="preserve">Beide bieten jede Rolle — Planner, Loader, Shunter, Dekit, Security, Dispatch, Fleet, VMU und Admin — mit derselben Lizenz und demselben Support.</w:t>
      </w:r>
    </w:p>
    <w:p>
      <w:pPr>
        <w:pStyle w:val="Heading2"/>
        <w:spacing w:after="160" w:before="360"/>
      </w:pPr>
      <w:r>
        <w:rPr>
          <w:rFonts w:ascii="Calibri" w:cs="Calibri" w:eastAsia="Calibri" w:hAnsi="Calibri"/>
          <w:b/>
          <w:bCs/>
          <w:color w:val="1F2937"/>
          <w:sz w:val="27"/>
          <w:szCs w:val="27"/>
        </w:rPr>
        <w:t xml:space="preserve">2.3 TASc6 herunterladen</w:t>
      </w:r>
    </w:p>
    <w:p>
      <w:pPr>
        <w:spacing w:after="200" w:line="300"/>
      </w:pPr>
      <w:r>
        <w:rPr>
          <w:rFonts w:ascii="Calibri" w:cs="Calibri" w:eastAsia="Calibri" w:hAnsi="Calibri"/>
          <w:color w:val="1F2937"/>
          <w:sz w:val="22"/>
          <w:szCs w:val="22"/>
        </w:rPr>
        <w:t xml:space="preserve">Laden Sie das Installationsprogramm von tasc6.net/download.html herunter. Sie werden nach Name, E-Mail, Firma und Ort gefragt, damit wir wissen, wer TASc6 ausprobiert, und bei Fragen nachfassen können — der Download startet unmittelbar danach.</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Testversion.  </w:t>
      </w:r>
      <w:r>
        <w:rPr>
          <w:rFonts w:ascii="Calibri" w:cs="Calibri" w:eastAsia="Calibri" w:hAnsi="Calibri"/>
          <w:color w:val="4B5563"/>
          <w:sz w:val="22"/>
          <w:szCs w:val="22"/>
        </w:rPr>
        <w:t xml:space="preserve"> TASc6 ist sofort nach der Installation voll nutzbar — alle Funktionen laufen 14 Tage lang ohne Lizenzschlüssel. Kaufen und aktivieren Sie jederzeit, während oder nach der Testphase, einen Schlüssel, um ein volles Jahr freizuschalten.</w:t>
      </w:r>
    </w:p>
    <w:p>
      <w:pPr>
        <w:pStyle w:val="Heading2"/>
        <w:spacing w:after="160" w:before="360"/>
      </w:pPr>
      <w:r>
        <w:rPr>
          <w:rFonts w:ascii="Calibri" w:cs="Calibri" w:eastAsia="Calibri" w:hAnsi="Calibri"/>
          <w:b/>
          <w:bCs/>
          <w:color w:val="1F2937"/>
          <w:sz w:val="27"/>
          <w:szCs w:val="27"/>
        </w:rPr>
        <w:t xml:space="preserve">2.4 Das Installationsprogramm ausführen</w:t>
      </w:r>
    </w:p>
    <w:p>
      <w:pPr>
        <w:spacing w:after="200" w:line="300"/>
      </w:pPr>
      <w:r>
        <w:rPr>
          <w:rFonts w:ascii="Calibri" w:cs="Calibri" w:eastAsia="Calibri" w:hAnsi="Calibri"/>
          <w:color w:val="1F2937"/>
          <w:sz w:val="22"/>
          <w:szCs w:val="22"/>
        </w:rPr>
        <w:t xml:space="preserve">Windows ist vorsichtig bei neuen, nicht signierten Installationsprogrammen aus dem Internet — TASc6 ist das Produkt eines kleinen Unternehmens und hat noch nicht die Download-Historie, die verhindert, dass Windows es markiert. Nichts von dem Folgenden bedeutet, dass mit der Datei etwas nicht stimmt.</w:t>
      </w:r>
    </w:p>
    <w:p>
      <w:pPr>
        <w:pStyle w:val="Heading3"/>
        <w:spacing w:after="120" w:before="260"/>
      </w:pPr>
      <w:r>
        <w:rPr>
          <w:rFonts w:ascii="Calibri" w:cs="Calibri" w:eastAsia="Calibri" w:hAnsi="Calibri"/>
          <w:b/>
          <w:bCs/>
          <w:color w:val="1F2937"/>
          <w:sz w:val="24"/>
          <w:szCs w:val="24"/>
        </w:rPr>
        <w:t xml:space="preserve">Ihr Browser markiert den Download</w:t>
      </w:r>
    </w:p>
    <w:p>
      <w:pPr>
        <w:spacing w:after="200" w:line="300"/>
      </w:pPr>
      <w:r>
        <w:rPr>
          <w:rFonts w:ascii="Calibri" w:cs="Calibri" w:eastAsia="Calibri" w:hAnsi="Calibri"/>
          <w:color w:val="1F2937"/>
          <w:sz w:val="22"/>
          <w:szCs w:val="22"/>
        </w:rPr>
        <w:t xml:space="preserve">Edge oder Chrome meldet möglicherweise, die Datei werde „nicht häufig heruntergeladen“ oder Ähnliches. Wählen Sie </w:t>
      </w:r>
      <w:r>
        <w:rPr>
          <w:rFonts w:ascii="Calibri" w:cs="Calibri" w:eastAsia="Calibri" w:hAnsi="Calibri"/>
          <w:b/>
          <w:bCs/>
          <w:color w:val="1F2937"/>
          <w:sz w:val="22"/>
          <w:szCs w:val="22"/>
        </w:rPr>
        <w:t xml:space="preserve">Behalten</w:t>
      </w:r>
      <w:r>
        <w:rPr>
          <w:rFonts w:ascii="Calibri" w:cs="Calibri" w:eastAsia="Calibri" w:hAnsi="Calibri"/>
          <w:color w:val="1F2937"/>
          <w:sz w:val="22"/>
          <w:szCs w:val="22"/>
        </w:rPr>
        <w:t xml:space="preserve"> oder </w:t>
      </w:r>
      <w:r>
        <w:rPr>
          <w:rFonts w:ascii="Calibri" w:cs="Calibri" w:eastAsia="Calibri" w:hAnsi="Calibri"/>
          <w:b/>
          <w:bCs/>
          <w:color w:val="1F2937"/>
          <w:sz w:val="22"/>
          <w:szCs w:val="22"/>
        </w:rPr>
        <w:t xml:space="preserve">Trotzdem behalten</w:t>
      </w:r>
      <w:r>
        <w:rPr>
          <w:rFonts w:ascii="Calibri" w:cs="Calibri" w:eastAsia="Calibri" w:hAnsi="Calibri"/>
          <w:color w:val="1F2937"/>
          <w:sz w:val="22"/>
          <w:szCs w:val="22"/>
        </w:rPr>
        <w:t xml:space="preserve"> (die Formulierung hängt vom Browser ab), um den Download abzuschließen.</w:t>
      </w:r>
    </w:p>
    <w:p>
      <w:pPr>
        <w:pStyle w:val="Heading3"/>
        <w:spacing w:after="120" w:before="260"/>
      </w:pPr>
      <w:r>
        <w:rPr>
          <w:rFonts w:ascii="Calibri" w:cs="Calibri" w:eastAsia="Calibri" w:hAnsi="Calibri"/>
          <w:b/>
          <w:bCs/>
          <w:color w:val="1F2937"/>
          <w:sz w:val="24"/>
          <w:szCs w:val="24"/>
        </w:rPr>
        <w:t xml:space="preserve">Windows SmartScreen: „Der Computer wurde durch Windows geschützt“</w:t>
      </w:r>
    </w:p>
    <w:p>
      <w:pPr>
        <w:spacing w:after="200" w:line="300"/>
      </w:pPr>
      <w:r>
        <w:rPr>
          <w:rFonts w:ascii="Calibri" w:cs="Calibri" w:eastAsia="Calibri" w:hAnsi="Calibri"/>
          <w:color w:val="1F2937"/>
          <w:sz w:val="22"/>
          <w:szCs w:val="22"/>
        </w:rPr>
        <w:t xml:space="preserve">Wenn Sie das heruntergeladene Installationsprogramm doppelklicken, sehen Sie sehr wahrscheinlich einen blauen Bildschirm mit der Überschrift „Der Computer wurde durch Windows geschützt“ und dem Hinweis auf eine „unbekannte App“. Das ist Windows SmartScreen. Er erscheint bei jeder neuen Anwendung, die bei Microsoft noch keinen etablierten Ruf hat — es ist keine Virenwarnung.</w:t>
      </w:r>
    </w:p>
    <w:p>
      <w:pPr>
        <w:pStyle w:val="ListParagraph"/>
        <w:numPr>
          <w:ilvl w:val="0"/>
          <w:numId w:val="2"/>
        </w:numPr>
        <w:spacing w:after="180" w:line="290"/>
      </w:pPr>
      <w:r>
        <w:rPr>
          <w:rFonts w:ascii="Calibri" w:cs="Calibri" w:eastAsia="Calibri" w:hAnsi="Calibri"/>
          <w:b/>
          <w:bCs/>
          <w:color w:val="1F2937"/>
          <w:sz w:val="22"/>
          <w:szCs w:val="22"/>
        </w:rPr>
        <w:t xml:space="preserve">Weitere Informationen</w:t>
      </w:r>
      <w:r>
        <w:rPr>
          <w:rFonts w:ascii="Calibri" w:cs="Calibri" w:eastAsia="Calibri" w:hAnsi="Calibri"/>
          <w:color w:val="1F2937"/>
          <w:sz w:val="22"/>
          <w:szCs w:val="22"/>
        </w:rPr>
        <w:t xml:space="preserve"> — klicken Sie zuerst auf diesen Link im blauen Feld. Klicken Sie noch nicht auf </w:t>
      </w:r>
      <w:r>
        <w:rPr>
          <w:rFonts w:ascii="Calibri" w:cs="Calibri" w:eastAsia="Calibri" w:hAnsi="Calibri"/>
          <w:b/>
          <w:bCs/>
          <w:color w:val="1F2937"/>
          <w:sz w:val="22"/>
          <w:szCs w:val="22"/>
        </w:rPr>
        <w:t xml:space="preserve">Nicht ausführen</w:t>
      </w:r>
      <w:r>
        <w:rPr>
          <w:rFonts w:ascii="Calibri" w:cs="Calibri" w:eastAsia="Calibri" w:hAnsi="Calibri"/>
          <w:color w:val="1F2937"/>
          <w:sz w:val="22"/>
          <w:szCs w:val="22"/>
        </w:rPr>
        <w:t xml:space="preserve">.</w:t>
      </w:r>
    </w:p>
    <w:p>
      <w:pPr>
        <w:pStyle w:val="ListParagraph"/>
        <w:numPr>
          <w:ilvl w:val="0"/>
          <w:numId w:val="2"/>
        </w:numPr>
        <w:spacing w:after="180" w:line="290"/>
      </w:pPr>
      <w:r>
        <w:rPr>
          <w:rFonts w:ascii="Calibri" w:cs="Calibri" w:eastAsia="Calibri" w:hAnsi="Calibri"/>
          <w:color w:val="1F2937"/>
          <w:sz w:val="22"/>
          <w:szCs w:val="22"/>
        </w:rPr>
        <w:t xml:space="preserve">Das Feld wird erweitert und zeigt App-Name und Herausgeber, und eine neue Schaltfläche erscheint: </w:t>
      </w:r>
      <w:r>
        <w:rPr>
          <w:rFonts w:ascii="Calibri" w:cs="Calibri" w:eastAsia="Calibri" w:hAnsi="Calibri"/>
          <w:b/>
          <w:bCs/>
          <w:color w:val="1F2937"/>
          <w:sz w:val="22"/>
          <w:szCs w:val="22"/>
        </w:rPr>
        <w:t xml:space="preserve">Trotzdem ausführen</w:t>
      </w:r>
      <w:r>
        <w:rPr>
          <w:rFonts w:ascii="Calibri" w:cs="Calibri" w:eastAsia="Calibri" w:hAnsi="Calibri"/>
          <w:color w:val="1F2937"/>
          <w:sz w:val="22"/>
          <w:szCs w:val="22"/>
        </w:rPr>
        <w:t xml:space="preserve">.</w:t>
      </w:r>
    </w:p>
    <w:p>
      <w:pPr>
        <w:pStyle w:val="ListParagraph"/>
        <w:numPr>
          <w:ilvl w:val="0"/>
          <w:numId w:val="2"/>
        </w:numPr>
        <w:spacing w:after="180" w:line="290"/>
      </w:pPr>
      <w:r>
        <w:rPr>
          <w:rFonts w:ascii="Calibri" w:cs="Calibri" w:eastAsia="Calibri" w:hAnsi="Calibri"/>
          <w:b/>
          <w:bCs/>
          <w:color w:val="1F2937"/>
          <w:sz w:val="22"/>
          <w:szCs w:val="22"/>
        </w:rPr>
        <w:t xml:space="preserve">Trotzdem ausführen</w:t>
      </w:r>
      <w:r>
        <w:rPr>
          <w:rFonts w:ascii="Calibri" w:cs="Calibri" w:eastAsia="Calibri" w:hAnsi="Calibri"/>
          <w:color w:val="1F2937"/>
          <w:sz w:val="22"/>
          <w:szCs w:val="22"/>
        </w:rPr>
        <w:t xml:space="preserve"> — klicken Sie darauf, um fortzufahren. Der Installationsassistent öffnet sich wie gewohnt.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Wenn „Weitere Informationen“ fehlt,  </w:t>
      </w:r>
      <w:r>
        <w:rPr>
          <w:rFonts w:ascii="Calibri" w:cs="Calibri" w:eastAsia="Calibri" w:hAnsi="Calibri"/>
          <w:color w:val="4B5563"/>
          <w:sz w:val="22"/>
          <w:szCs w:val="22"/>
        </w:rPr>
        <w:t xml:space="preserve"> hat Ihre IT-Richtlinie dies möglicherweise zentral gesperrt. Bitten Sie die IT, das Installationsprogramm freizugeben oder es in der Gruppenrichtlinie oder Ihrer Endpoint-Protection-Konsole auf die Positivliste zu setzen.</w:t>
      </w:r>
    </w:p>
    <w:p>
      <w:pPr>
        <w:pStyle w:val="Heading3"/>
        <w:spacing w:after="120" w:before="260"/>
      </w:pPr>
      <w:r>
        <w:rPr>
          <w:rFonts w:ascii="Calibri" w:cs="Calibri" w:eastAsia="Calibri" w:hAnsi="Calibri"/>
          <w:b/>
          <w:bCs/>
          <w:color w:val="1F2937"/>
          <w:sz w:val="24"/>
          <w:szCs w:val="24"/>
        </w:rPr>
        <w:t xml:space="preserve">Wenn Microsoft Defender die Datei blockiert oder ganz entfernt</w:t>
      </w:r>
    </w:p>
    <w:p>
      <w:pPr>
        <w:spacing w:after="200" w:line="300"/>
      </w:pPr>
      <w:r>
        <w:rPr>
          <w:rFonts w:ascii="Calibri" w:cs="Calibri" w:eastAsia="Calibri" w:hAnsi="Calibri"/>
          <w:color w:val="1F2937"/>
          <w:sz w:val="22"/>
          <w:szCs w:val="22"/>
        </w:rPr>
        <w:t xml:space="preserve">Das ist seltener als die obige SmartScreen-Meldung, kann aber vorkommen — besonders auf einem Rechner mit strengeren, von der IT verwalteten Virenschutz-Einstellungen —, weil das Installationsprogramm eine vollständige Node.js-Laufzeit enthält, die manche Virenschutz-Heuristiken allein wegen ihrer Fähigkeiten mit besonderem Misstrauen behandeln, nicht wegen dessen, was sie tatsächlich tut.</w:t>
      </w:r>
    </w:p>
    <w:p>
      <w:pPr>
        <w:pStyle w:val="ListParagraph"/>
        <w:numPr>
          <w:ilvl w:val="0"/>
          <w:numId w:val="3"/>
        </w:numPr>
        <w:spacing w:after="180" w:line="290"/>
      </w:pPr>
      <w:r>
        <w:rPr>
          <w:rFonts w:ascii="Calibri" w:cs="Calibri" w:eastAsia="Calibri" w:hAnsi="Calibri"/>
          <w:color w:val="1F2937"/>
          <w:sz w:val="22"/>
          <w:szCs w:val="22"/>
        </w:rPr>
        <w:t xml:space="preserve">Öffnen Sie </w:t>
      </w:r>
      <w:r>
        <w:rPr>
          <w:rFonts w:ascii="Calibri" w:cs="Calibri" w:eastAsia="Calibri" w:hAnsi="Calibri"/>
          <w:b/>
          <w:bCs/>
          <w:color w:val="1F2937"/>
          <w:sz w:val="22"/>
          <w:szCs w:val="22"/>
        </w:rPr>
        <w:t xml:space="preserve">Windows-Sicherheit</w:t>
      </w:r>
      <w:r>
        <w:rPr>
          <w:rFonts w:ascii="Calibri" w:cs="Calibri" w:eastAsia="Calibri" w:hAnsi="Calibri"/>
          <w:color w:val="1F2937"/>
          <w:sz w:val="22"/>
          <w:szCs w:val="22"/>
        </w:rPr>
        <w:t xml:space="preserve"> (im Startmenü suchen).</w:t>
      </w:r>
    </w:p>
    <w:p>
      <w:pPr>
        <w:pStyle w:val="ListParagraph"/>
        <w:numPr>
          <w:ilvl w:val="0"/>
          <w:numId w:val="3"/>
        </w:numPr>
        <w:spacing w:after="180" w:line="290"/>
      </w:pPr>
      <w:r>
        <w:rPr>
          <w:rFonts w:ascii="Calibri" w:cs="Calibri" w:eastAsia="Calibri" w:hAnsi="Calibri"/>
          <w:color w:val="1F2937"/>
          <w:sz w:val="22"/>
          <w:szCs w:val="22"/>
        </w:rPr>
        <w:t xml:space="preserve">Gehen Sie zu </w:t>
      </w:r>
      <w:r>
        <w:rPr>
          <w:rFonts w:ascii="Calibri" w:cs="Calibri" w:eastAsia="Calibri" w:hAnsi="Calibri"/>
          <w:b/>
          <w:bCs/>
          <w:color w:val="1F2937"/>
          <w:sz w:val="22"/>
          <w:szCs w:val="22"/>
        </w:rPr>
        <w:t xml:space="preserve">Viren- &amp; Bedrohungsschutz</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Schutzverlauf</w:t>
      </w:r>
      <w:r>
        <w:rPr>
          <w:rFonts w:ascii="Calibri" w:cs="Calibri" w:eastAsia="Calibri" w:hAnsi="Calibri"/>
          <w:color w:val="1F2937"/>
          <w:sz w:val="22"/>
          <w:szCs w:val="22"/>
        </w:rPr>
        <w:t xml:space="preserve">.</w:t>
      </w:r>
    </w:p>
    <w:p>
      <w:pPr>
        <w:pStyle w:val="ListParagraph"/>
        <w:numPr>
          <w:ilvl w:val="0"/>
          <w:numId w:val="3"/>
        </w:numPr>
        <w:spacing w:after="180" w:line="290"/>
      </w:pPr>
      <w:r>
        <w:rPr>
          <w:rFonts w:ascii="Calibri" w:cs="Calibri" w:eastAsia="Calibri" w:hAnsi="Calibri"/>
          <w:color w:val="1F2937"/>
          <w:sz w:val="22"/>
          <w:szCs w:val="22"/>
        </w:rPr>
        <w:t xml:space="preserve">Suchen Sie das TASc6-Installationsprogramm in der Liste und wählen Sie </w:t>
      </w:r>
      <w:r>
        <w:rPr>
          <w:rFonts w:ascii="Calibri" w:cs="Calibri" w:eastAsia="Calibri" w:hAnsi="Calibri"/>
          <w:b/>
          <w:bCs/>
          <w:color w:val="1F2937"/>
          <w:sz w:val="22"/>
          <w:szCs w:val="22"/>
        </w:rPr>
        <w:t xml:space="preserve">Wiederherstellen</w:t>
      </w:r>
      <w:r>
        <w:rPr>
          <w:rFonts w:ascii="Calibri" w:cs="Calibri" w:eastAsia="Calibri" w:hAnsi="Calibri"/>
          <w:color w:val="1F2937"/>
          <w:sz w:val="22"/>
          <w:szCs w:val="22"/>
        </w:rPr>
        <w:t xml:space="preserve">, falls es unter Quarantäne gestellt oder entfernt wurde.</w:t>
      </w:r>
    </w:p>
    <w:p>
      <w:pPr>
        <w:pStyle w:val="ListParagraph"/>
        <w:numPr>
          <w:ilvl w:val="0"/>
          <w:numId w:val="3"/>
        </w:numPr>
        <w:spacing w:after="180" w:line="290"/>
      </w:pPr>
      <w:r>
        <w:rPr>
          <w:rFonts w:ascii="Calibri" w:cs="Calibri" w:eastAsia="Calibri" w:hAnsi="Calibri"/>
          <w:color w:val="1F2937"/>
          <w:sz w:val="22"/>
          <w:szCs w:val="22"/>
        </w:rPr>
        <w:t xml:space="preserve">Wird es beim nächsten Start erneut blockiert, fügen Sie eine Ausnahme hinzu: </w:t>
      </w:r>
      <w:r>
        <w:rPr>
          <w:rFonts w:ascii="Calibri" w:cs="Calibri" w:eastAsia="Calibri" w:hAnsi="Calibri"/>
          <w:b/>
          <w:bCs/>
          <w:color w:val="1F2937"/>
          <w:sz w:val="22"/>
          <w:szCs w:val="22"/>
        </w:rPr>
        <w:t xml:space="preserve">Einstellungen für Viren- &amp; Bedrohungsschutz</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Einstellungen verwalten</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Ausschlüsse hinzufügen oder entfernen</w:t>
      </w:r>
      <w:r>
        <w:rPr>
          <w:rFonts w:ascii="Calibri" w:cs="Calibri" w:eastAsia="Calibri" w:hAnsi="Calibri"/>
          <w:color w:val="1F2937"/>
          <w:sz w:val="22"/>
          <w:szCs w:val="22"/>
        </w:rPr>
        <w:t xml:space="preserve"> → fügen Sie den Ordner hinzu, in den Sie TASc6 installieren (z. B. C:\TASc6).</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Auf einem firmenverwalteten PC  </w:t>
      </w:r>
      <w:r>
        <w:rPr>
          <w:rFonts w:ascii="Calibri" w:cs="Calibri" w:eastAsia="Calibri" w:hAnsi="Calibri"/>
          <w:color w:val="4B5563"/>
          <w:sz w:val="22"/>
          <w:szCs w:val="22"/>
        </w:rPr>
        <w:t xml:space="preserve"> können diese Einstellungen zentral gesteuert und ausgegraut sein — die IT muss diese Änderung dann vornehmen oder das Installationsprogramm für Sie freigeben.</w:t>
      </w:r>
    </w:p>
    <w:p>
      <w:pPr>
        <w:pStyle w:val="Heading2"/>
        <w:spacing w:after="160" w:before="360"/>
      </w:pPr>
      <w:r>
        <w:rPr>
          <w:rFonts w:ascii="Calibri" w:cs="Calibri" w:eastAsia="Calibri" w:hAnsi="Calibri"/>
          <w:b/>
          <w:bCs/>
          <w:color w:val="1F2937"/>
          <w:sz w:val="27"/>
          <w:szCs w:val="27"/>
        </w:rPr>
        <w:t xml:space="preserve">2.5 TASc6 durch die Windows-Firewall zulassen</w:t>
      </w:r>
    </w:p>
    <w:p>
      <w:pPr>
        <w:spacing w:after="200" w:line="300"/>
      </w:pPr>
      <w:r>
        <w:rPr>
          <w:rFonts w:ascii="Calibri" w:cs="Calibri" w:eastAsia="Calibri" w:hAnsi="Calibri"/>
          <w:color w:val="1F2937"/>
          <w:sz w:val="22"/>
          <w:szCs w:val="22"/>
        </w:rPr>
        <w:t xml:space="preserve">Dieser Schritt ist wichtiger als die beiden vorherigen: Jeder andere Desktop und jedes Tablet an Ihrem Standort erreicht TASc6 über das Netzwerk. Blockiert die Windows-Firewall es, läuft TASc6 auf dem Host-Rechner selbst einwandfrei, während sich niemand sonst am Standort verbinden kann — ein verwirrendes Symptom, wenn man nicht weiß, wo man suchen muss.</w:t>
      </w:r>
    </w:p>
    <w:p>
      <w:pPr>
        <w:spacing w:after="200" w:line="300"/>
      </w:pPr>
      <w:r>
        <w:rPr>
          <w:rFonts w:ascii="Calibri" w:cs="Calibri" w:eastAsia="Calibri" w:hAnsi="Calibri"/>
          <w:color w:val="1F2937"/>
          <w:sz w:val="22"/>
          <w:szCs w:val="22"/>
        </w:rPr>
        <w:t xml:space="preserve">Beim ersten Start von TASc6 zeigt Windows normalerweise eine Meldung mit dem Titel „Die Windows Defender Firewall hat einige Funktionen dieser App blockiert“ und nennt Node.js.</w:t>
      </w:r>
    </w:p>
    <w:p>
      <w:pPr>
        <w:pStyle w:val="ListParagraph"/>
        <w:numPr>
          <w:ilvl w:val="0"/>
          <w:numId w:val="4"/>
        </w:numPr>
        <w:spacing w:after="180" w:line="290"/>
      </w:pPr>
      <w:r>
        <w:rPr>
          <w:rFonts w:ascii="Calibri" w:cs="Calibri" w:eastAsia="Calibri" w:hAnsi="Calibri"/>
          <w:color w:val="1F2937"/>
          <w:sz w:val="22"/>
          <w:szCs w:val="22"/>
        </w:rPr>
        <w:t xml:space="preserve">Aktivieren Sie </w:t>
      </w:r>
      <w:r>
        <w:rPr>
          <w:rFonts w:ascii="Calibri" w:cs="Calibri" w:eastAsia="Calibri" w:hAnsi="Calibri"/>
          <w:b/>
          <w:bCs/>
          <w:color w:val="1F2937"/>
          <w:sz w:val="22"/>
          <w:szCs w:val="22"/>
        </w:rPr>
        <w:t xml:space="preserve">Private Netzwerke</w:t>
      </w:r>
      <w:r>
        <w:rPr>
          <w:rFonts w:ascii="Calibri" w:cs="Calibri" w:eastAsia="Calibri" w:hAnsi="Calibri"/>
          <w:color w:val="1F2937"/>
          <w:sz w:val="22"/>
          <w:szCs w:val="22"/>
        </w:rPr>
        <w:t xml:space="preserve"> (und auch </w:t>
      </w:r>
      <w:r>
        <w:rPr>
          <w:rFonts w:ascii="Calibri" w:cs="Calibri" w:eastAsia="Calibri" w:hAnsi="Calibri"/>
          <w:b/>
          <w:bCs/>
          <w:color w:val="1F2937"/>
          <w:sz w:val="22"/>
          <w:szCs w:val="22"/>
        </w:rPr>
        <w:t xml:space="preserve">Öffentliche Netzwerke</w:t>
      </w:r>
      <w:r>
        <w:rPr>
          <w:rFonts w:ascii="Calibri" w:cs="Calibri" w:eastAsia="Calibri" w:hAnsi="Calibri"/>
          <w:color w:val="1F2937"/>
          <w:sz w:val="22"/>
          <w:szCs w:val="22"/>
        </w:rPr>
        <w:t xml:space="preserve">, falls Ihr Standortnetz in Windows als Öffentlich eingestuft ist).</w:t>
      </w:r>
    </w:p>
    <w:p>
      <w:pPr>
        <w:pStyle w:val="ListParagraph"/>
        <w:numPr>
          <w:ilvl w:val="0"/>
          <w:numId w:val="4"/>
        </w:numPr>
        <w:spacing w:after="180" w:line="290"/>
      </w:pPr>
      <w:r>
        <w:rPr>
          <w:rFonts w:ascii="Calibri" w:cs="Calibri" w:eastAsia="Calibri" w:hAnsi="Calibri"/>
          <w:color w:val="1F2937"/>
          <w:sz w:val="22"/>
          <w:szCs w:val="22"/>
        </w:rPr>
        <w:t xml:space="preserve">Klicken Sie auf </w:t>
      </w:r>
      <w:r>
        <w:rPr>
          <w:rFonts w:ascii="Calibri" w:cs="Calibri" w:eastAsia="Calibri" w:hAnsi="Calibri"/>
          <w:b/>
          <w:bCs/>
          <w:color w:val="1F2937"/>
          <w:sz w:val="22"/>
          <w:szCs w:val="22"/>
        </w:rPr>
        <w:t xml:space="preserve">Zugriff zulassen</w:t>
      </w:r>
      <w:r>
        <w:rPr>
          <w:rFonts w:ascii="Calibri" w:cs="Calibri" w:eastAsia="Calibri" w:hAnsi="Calibri"/>
          <w:color w:val="1F2937"/>
          <w:sz w:val="22"/>
          <w:szCs w:val="22"/>
        </w:rPr>
        <w:t xml:space="preserve">.</w:t>
      </w:r>
    </w:p>
    <w:p>
      <w:pPr>
        <w:spacing w:after="200" w:line="300"/>
      </w:pPr>
      <w:r>
        <w:rPr>
          <w:rFonts w:ascii="Calibri" w:cs="Calibri" w:eastAsia="Calibri" w:hAnsi="Calibri"/>
          <w:color w:val="1F2937"/>
          <w:sz w:val="22"/>
          <w:szCs w:val="22"/>
        </w:rPr>
        <w:t xml:space="preserve">Wurde die Meldung verpasst, weggeklickt oder versehentlich mit „Abbrechen“ beantwortet, korrigieren Sie das nachträglich:</w:t>
      </w:r>
    </w:p>
    <w:p>
      <w:pPr>
        <w:pStyle w:val="ListParagraph"/>
        <w:numPr>
          <w:ilvl w:val="0"/>
          <w:numId w:val="5"/>
        </w:numPr>
        <w:spacing w:after="180" w:line="290"/>
      </w:pPr>
      <w:r>
        <w:rPr>
          <w:rFonts w:ascii="Calibri" w:cs="Calibri" w:eastAsia="Calibri" w:hAnsi="Calibri"/>
          <w:color w:val="1F2937"/>
          <w:sz w:val="22"/>
          <w:szCs w:val="22"/>
        </w:rPr>
        <w:t xml:space="preserve">Öffnen Sie </w:t>
      </w:r>
      <w:r>
        <w:rPr>
          <w:rFonts w:ascii="Calibri" w:cs="Calibri" w:eastAsia="Calibri" w:hAnsi="Calibri"/>
          <w:b/>
          <w:bCs/>
          <w:color w:val="1F2937"/>
          <w:sz w:val="22"/>
          <w:szCs w:val="22"/>
        </w:rPr>
        <w:t xml:space="preserve">Windows-Sicherheit</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Firewall &amp; Netzwerkschutz</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App durch die Firewall zulassen</w:t>
      </w:r>
      <w:r>
        <w:rPr>
          <w:rFonts w:ascii="Calibri" w:cs="Calibri" w:eastAsia="Calibri" w:hAnsi="Calibri"/>
          <w:color w:val="1F2937"/>
          <w:sz w:val="22"/>
          <w:szCs w:val="22"/>
        </w:rPr>
        <w:t xml:space="preserve">.</w:t>
      </w:r>
    </w:p>
    <w:p>
      <w:pPr>
        <w:pStyle w:val="ListParagraph"/>
        <w:numPr>
          <w:ilvl w:val="0"/>
          <w:numId w:val="5"/>
        </w:numPr>
        <w:spacing w:after="180" w:line="290"/>
      </w:pPr>
      <w:r>
        <w:rPr>
          <w:rFonts w:ascii="Calibri" w:cs="Calibri" w:eastAsia="Calibri" w:hAnsi="Calibri"/>
          <w:color w:val="1F2937"/>
          <w:sz w:val="22"/>
          <w:szCs w:val="22"/>
        </w:rPr>
        <w:t xml:space="preserve">Klicken Sie auf </w:t>
      </w:r>
      <w:r>
        <w:rPr>
          <w:rFonts w:ascii="Calibri" w:cs="Calibri" w:eastAsia="Calibri" w:hAnsi="Calibri"/>
          <w:b/>
          <w:bCs/>
          <w:color w:val="1F2937"/>
          <w:sz w:val="22"/>
          <w:szCs w:val="22"/>
        </w:rPr>
        <w:t xml:space="preserve">Einstellungen ändern</w:t>
      </w:r>
      <w:r>
        <w:rPr>
          <w:rFonts w:ascii="Calibri" w:cs="Calibri" w:eastAsia="Calibri" w:hAnsi="Calibri"/>
          <w:color w:val="1F2937"/>
          <w:sz w:val="22"/>
          <w:szCs w:val="22"/>
        </w:rPr>
        <w:t xml:space="preserve"> (Administratorrechte nötig), suchen Sie </w:t>
      </w:r>
      <w:r>
        <w:rPr>
          <w:rFonts w:ascii="Calibri" w:cs="Calibri" w:eastAsia="Calibri" w:hAnsi="Calibri"/>
          <w:b/>
          <w:bCs/>
          <w:color w:val="1F2937"/>
          <w:sz w:val="22"/>
          <w:szCs w:val="22"/>
        </w:rPr>
        <w:t xml:space="preserve">Node.js</w:t>
      </w:r>
      <w:r>
        <w:rPr>
          <w:rFonts w:ascii="Calibri" w:cs="Calibri" w:eastAsia="Calibri" w:hAnsi="Calibri"/>
          <w:color w:val="1F2937"/>
          <w:sz w:val="22"/>
          <w:szCs w:val="22"/>
        </w:rPr>
        <w:t xml:space="preserve"> in der Liste — oder klicken Sie auf </w:t>
      </w:r>
      <w:r>
        <w:rPr>
          <w:rFonts w:ascii="Calibri" w:cs="Calibri" w:eastAsia="Calibri" w:hAnsi="Calibri"/>
          <w:b/>
          <w:bCs/>
          <w:color w:val="1F2937"/>
          <w:sz w:val="22"/>
          <w:szCs w:val="22"/>
        </w:rPr>
        <w:t xml:space="preserve">Andere App zulassen…</w:t>
      </w:r>
      <w:r>
        <w:rPr>
          <w:rFonts w:ascii="Calibri" w:cs="Calibri" w:eastAsia="Calibri" w:hAnsi="Calibri"/>
          <w:color w:val="1F2937"/>
          <w:sz w:val="22"/>
          <w:szCs w:val="22"/>
        </w:rPr>
        <w:t xml:space="preserve"> und navigieren Sie, falls sie nicht aufgeführt ist, zu node\node.exe im TASc6-Installationsordner.</w:t>
      </w:r>
    </w:p>
    <w:p>
      <w:pPr>
        <w:pStyle w:val="ListParagraph"/>
        <w:numPr>
          <w:ilvl w:val="0"/>
          <w:numId w:val="5"/>
        </w:numPr>
        <w:spacing w:after="180" w:line="290"/>
      </w:pPr>
      <w:r>
        <w:rPr>
          <w:rFonts w:ascii="Calibri" w:cs="Calibri" w:eastAsia="Calibri" w:hAnsi="Calibri"/>
          <w:color w:val="1F2937"/>
          <w:sz w:val="22"/>
          <w:szCs w:val="22"/>
        </w:rPr>
        <w:t xml:space="preserve">Aktivieren Sie sowohl </w:t>
      </w:r>
      <w:r>
        <w:rPr>
          <w:rFonts w:ascii="Calibri" w:cs="Calibri" w:eastAsia="Calibri" w:hAnsi="Calibri"/>
          <w:b/>
          <w:bCs/>
          <w:color w:val="1F2937"/>
          <w:sz w:val="22"/>
          <w:szCs w:val="22"/>
        </w:rPr>
        <w:t xml:space="preserve">Privat</w:t>
      </w:r>
      <w:r>
        <w:rPr>
          <w:rFonts w:ascii="Calibri" w:cs="Calibri" w:eastAsia="Calibri" w:hAnsi="Calibri"/>
          <w:color w:val="1F2937"/>
          <w:sz w:val="22"/>
          <w:szCs w:val="22"/>
        </w:rPr>
        <w:t xml:space="preserve"> als auch </w:t>
      </w:r>
      <w:r>
        <w:rPr>
          <w:rFonts w:ascii="Calibri" w:cs="Calibri" w:eastAsia="Calibri" w:hAnsi="Calibri"/>
          <w:b/>
          <w:bCs/>
          <w:color w:val="1F2937"/>
          <w:sz w:val="22"/>
          <w:szCs w:val="22"/>
        </w:rPr>
        <w:t xml:space="preserve">Öffentlich</w:t>
      </w:r>
      <w:r>
        <w:rPr>
          <w:rFonts w:ascii="Calibri" w:cs="Calibri" w:eastAsia="Calibri" w:hAnsi="Calibri"/>
          <w:color w:val="1F2937"/>
          <w:sz w:val="22"/>
          <w:szCs w:val="22"/>
        </w:rPr>
        <w:t xml:space="preserve"> und klicken Sie auf </w:t>
      </w:r>
      <w:r>
        <w:rPr>
          <w:rFonts w:ascii="Calibri" w:cs="Calibri" w:eastAsia="Calibri" w:hAnsi="Calibri"/>
          <w:b/>
          <w:bCs/>
          <w:color w:val="1F2937"/>
          <w:sz w:val="22"/>
          <w:szCs w:val="22"/>
        </w:rPr>
        <w:t xml:space="preserve">OK</w:t>
      </w:r>
      <w:r>
        <w:rPr>
          <w:rFonts w:ascii="Calibri" w:cs="Calibri" w:eastAsia="Calibri" w:hAnsi="Calibri"/>
          <w:color w:val="1F2937"/>
          <w:sz w:val="22"/>
          <w:szCs w:val="22"/>
        </w:rPr>
        <w:t xml:space="preserve">.</w:t>
      </w:r>
    </w:p>
    <w:p>
      <w:pPr>
        <w:pStyle w:val="Heading2"/>
        <w:spacing w:after="160" w:before="360"/>
      </w:pPr>
      <w:r>
        <w:rPr>
          <w:rFonts w:ascii="Calibri" w:cs="Calibri" w:eastAsia="Calibri" w:hAnsi="Calibri"/>
          <w:b/>
          <w:bCs/>
          <w:color w:val="1F2937"/>
          <w:sz w:val="27"/>
          <w:szCs w:val="27"/>
        </w:rPr>
        <w:t xml:space="preserve">2.6 Erster Start</w:t>
      </w:r>
    </w:p>
    <w:p>
      <w:pPr>
        <w:spacing w:after="200" w:line="300"/>
      </w:pPr>
      <w:r>
        <w:rPr>
          <w:rFonts w:ascii="Calibri" w:cs="Calibri" w:eastAsia="Calibri" w:hAnsi="Calibri"/>
          <w:color w:val="1F2937"/>
          <w:sz w:val="22"/>
          <w:szCs w:val="22"/>
        </w:rPr>
        <w:t xml:space="preserve">Nach der Installation läuft TASc6 unauffällig im Hintergrund und zeigt ein kleines Symbol im Infobereich der Windows-Taskleiste (neben der Uhr). Rechtsklick darauf bietet Start, Stop und einen Link zum Öffnen von TASc6 im Browser.</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Lassen Sie es laufen.  </w:t>
      </w:r>
      <w:r>
        <w:rPr>
          <w:rFonts w:ascii="Calibri" w:cs="Calibri" w:eastAsia="Calibri" w:hAnsi="Calibri"/>
          <w:color w:val="4B5563"/>
          <w:sz w:val="22"/>
          <w:szCs w:val="22"/>
        </w:rPr>
        <w:t xml:space="preserve"> Der Host-Rechner muss eingeschaltet bleiben, damit alle anderen am Standort TASc6 erreichen — in Kapitel 3 steht, wie das in das Netzwerk Ihres Standorts passt.</w:t>
      </w:r>
    </w:p>
    <w:p>
      <w:pPr>
        <w:spacing w:after="200" w:line="300"/>
      </w:pPr>
      <w:r>
        <w:rPr>
          <w:rFonts w:ascii="Calibri" w:cs="Calibri" w:eastAsia="Calibri" w:hAnsi="Calibri"/>
          <w:color w:val="1F2937"/>
          <w:sz w:val="22"/>
          <w:szCs w:val="22"/>
        </w:rPr>
        <w:t xml:space="preserve">Öffnen Sie auf dem Host-Rechner einen Browser und rufen Sie http://localhost:3000 auf, um sich zum ersten Mal anzumelden.</w:t>
      </w:r>
    </w:p>
    <w:p>
      <w:pPr>
        <w:pStyle w:val="Heading2"/>
        <w:spacing w:after="160" w:before="360"/>
      </w:pPr>
      <w:r>
        <w:rPr>
          <w:rFonts w:ascii="Calibri" w:cs="Calibri" w:eastAsia="Calibri" w:hAnsi="Calibri"/>
          <w:b/>
          <w:bCs/>
          <w:color w:val="1F2937"/>
          <w:sz w:val="27"/>
          <w:szCs w:val="27"/>
        </w:rPr>
        <w:t xml:space="preserve">2.7 Ihre Lizenz aktivieren</w:t>
      </w:r>
    </w:p>
    <w:p>
      <w:pPr>
        <w:spacing w:after="200" w:line="300"/>
      </w:pPr>
      <w:r>
        <w:rPr>
          <w:rFonts w:ascii="Calibri" w:cs="Calibri" w:eastAsia="Calibri" w:hAnsi="Calibri"/>
          <w:color w:val="1F2937"/>
          <w:sz w:val="22"/>
          <w:szCs w:val="22"/>
        </w:rPr>
        <w:t xml:space="preserve">TASc6 läuft als volle 14-Tage-Testversion, ohne dass etwas freigeschaltet werden muss. Wenn Sie kaufen möchten, rufen Sie die Lizenzseite mit der Installations-ID auf, die auf dem Host-Rechner unter http://localhost:3000/activate angezeigt wird. Fügen Sie den erhaltenen Schlüssel auf derselben Seite ein, um zu aktivieren — das schaltet TASc6 für ein volles Jahr frei.</w:t>
      </w:r>
    </w:p>
    <w:p>
      <w:pPr>
        <w:spacing w:after="200" w:line="300"/>
      </w:pPr>
      <w:r>
        <w:rPr>
          <w:rFonts w:ascii="Calibri" w:cs="Calibri" w:eastAsia="Calibri" w:hAnsi="Calibri"/>
          <w:color w:val="1F2937"/>
          <w:sz w:val="22"/>
          <w:szCs w:val="22"/>
        </w:rPr>
        <w:t xml:space="preserve">Brauchen Sie Hilfe bei der Installation? Schreiben Sie an </w:t>
      </w:r>
      <w:r>
        <w:rPr>
          <w:rFonts w:ascii="Calibri" w:cs="Calibri" w:eastAsia="Calibri" w:hAnsi="Calibri"/>
          <w:b/>
          <w:bCs/>
          <w:color w:val="1F2937"/>
          <w:sz w:val="22"/>
          <w:szCs w:val="22"/>
        </w:rPr>
        <w:t xml:space="preserve">licensing@tasc6.net</w:t>
      </w:r>
      <w:r>
        <w:rPr>
          <w:rFonts w:ascii="Calibri" w:cs="Calibri" w:eastAsia="Calibri" w:hAnsi="Calibri"/>
          <w:color w:val="1F2937"/>
          <w:sz w:val="22"/>
          <w:szCs w:val="22"/>
        </w:rPr>
        <w:t xml:space="preserve">, wir führen Sie durch die Schritte.</w:t>
      </w:r>
    </w:p>
    <w:p>
      <w:pPr>
        <w:pStyle w:val="Heading2"/>
        <w:spacing w:after="160" w:before="360"/>
      </w:pPr>
      <w:r>
        <w:rPr>
          <w:rFonts w:ascii="Calibri" w:cs="Calibri" w:eastAsia="Calibri" w:hAnsi="Calibri"/>
          <w:b/>
          <w:bCs/>
          <w:color w:val="1F2937"/>
          <w:sz w:val="27"/>
          <w:szCs w:val="27"/>
        </w:rPr>
        <w:t xml:space="preserve">2.8 Deinstallieren oder neu installieren</w:t>
      </w:r>
    </w:p>
    <w:p>
      <w:pPr>
        <w:spacing w:after="200" w:line="300"/>
      </w:pPr>
      <w:r>
        <w:rPr>
          <w:rFonts w:ascii="Calibri" w:cs="Calibri" w:eastAsia="Calibri" w:hAnsi="Calibri"/>
          <w:color w:val="1F2937"/>
          <w:sz w:val="22"/>
          <w:szCs w:val="22"/>
        </w:rPr>
        <w:t xml:space="preserve">Beenden Sie TASc6 über das Infobereichssymbol (Stop), bevor Sie deinstallieren oder neu installieren. Meldet Windows später, eine Datenbank- oder Programmdatei sei „in Verwendung“, obwohl Sie deinstalliert haben, läuft noch eine Node.js-Kopie von TASc6 im Hintergrund — öffnen Sie den Task-Manager, wechseln Sie zur Registerkarte Details und beenden Sie jeden node.exe-Prozess, bevor Sie es erneut versuchen.</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3. Ihren Standort einrichten</w:t>
      </w:r>
    </w:p>
    <w:p>
      <w:pPr>
        <w:spacing w:after="200" w:line="300"/>
      </w:pPr>
      <w:r>
        <w:rPr>
          <w:rFonts w:ascii="Calibri" w:cs="Calibri" w:eastAsia="Calibri" w:hAnsi="Calibri"/>
          <w:color w:val="1F2937"/>
          <w:sz w:val="22"/>
          <w:szCs w:val="22"/>
        </w:rPr>
        <w:t xml:space="preserve">TASc6 ist ein einziges Live-System, das von überall am Standort aus betrachtet wird. Ob das gelingt, hängt mehr von Netzwerk und Geräteanordnung ab als von der Software selbst.</w:t>
      </w:r>
    </w:p>
    <w:p>
      <w:pPr>
        <w:pStyle w:val="Heading2"/>
        <w:spacing w:after="160" w:before="360"/>
      </w:pPr>
      <w:r>
        <w:rPr>
          <w:rFonts w:ascii="Calibri" w:cs="Calibri" w:eastAsia="Calibri" w:hAnsi="Calibri"/>
          <w:b/>
          <w:bCs/>
          <w:color w:val="1F2937"/>
          <w:sz w:val="27"/>
          <w:szCs w:val="27"/>
        </w:rPr>
        <w:t xml:space="preserve">3.1 Der grundlegende Aufbau</w:t>
      </w:r>
    </w:p>
    <w:p>
      <w:pPr>
        <w:spacing w:after="200" w:line="300"/>
      </w:pPr>
      <w:r>
        <w:rPr>
          <w:rFonts w:ascii="Calibri" w:cs="Calibri" w:eastAsia="Calibri" w:hAnsi="Calibri"/>
          <w:b/>
          <w:bCs/>
          <w:color w:val="1F2937"/>
          <w:sz w:val="22"/>
          <w:szCs w:val="22"/>
        </w:rPr>
        <w:t xml:space="preserve">Der Host-Rechner.</w:t>
      </w:r>
      <w:r>
        <w:rPr>
          <w:rFonts w:ascii="Calibri" w:cs="Calibri" w:eastAsia="Calibri" w:hAnsi="Calibri"/>
          <w:color w:val="1F2937"/>
          <w:sz w:val="22"/>
          <w:szCs w:val="22"/>
        </w:rPr>
        <w:t xml:space="preserve"> Ein Windows-Desktop oder -Server führt das TASc6-Installationsprogramm aus und bleibt eingeschaltet — mit ihm sprechen alle anderen Geräte am Standort. Er muss nicht leistungsstark sein; er muss zuverlässig sein und durchlaufen.</w:t>
      </w:r>
    </w:p>
    <w:p>
      <w:pPr>
        <w:spacing w:after="200" w:line="300"/>
      </w:pPr>
      <w:r>
        <w:rPr>
          <w:rFonts w:ascii="Calibri" w:cs="Calibri" w:eastAsia="Calibri" w:hAnsi="Calibri"/>
          <w:b/>
          <w:bCs/>
          <w:color w:val="1F2937"/>
          <w:sz w:val="22"/>
          <w:szCs w:val="22"/>
        </w:rPr>
        <w:t xml:space="preserve">Das Netzwerk.</w:t>
      </w:r>
      <w:r>
        <w:rPr>
          <w:rFonts w:ascii="Calibri" w:cs="Calibri" w:eastAsia="Calibri" w:hAnsi="Calibri"/>
          <w:color w:val="1F2937"/>
          <w:sz w:val="22"/>
          <w:szCs w:val="22"/>
        </w:rPr>
        <w:t xml:space="preserve"> Dieser Host und jeder Desktop und jedes Tablet, das ihn erreichen muss, sollten im selben Netzwerk liegen — idealerweise in einem eigenen VLAN, getrennt vom allgemeinen Büro- und Gastverkehr, damit der Depotbetrieb nicht mit dem üblichen Netzwerkrauschen konkurriert.</w:t>
      </w:r>
    </w:p>
    <w:p>
      <w:pPr>
        <w:pStyle w:val="Heading2"/>
        <w:spacing w:after="160" w:before="360"/>
      </w:pPr>
      <w:r>
        <w:rPr>
          <w:rFonts w:ascii="Calibri" w:cs="Calibri" w:eastAsia="Calibri" w:hAnsi="Calibri"/>
          <w:b/>
          <w:bCs/>
          <w:color w:val="1F2937"/>
          <w:sz w:val="27"/>
          <w:szCs w:val="27"/>
        </w:rPr>
        <w:t xml:space="preserve">3.2 Geräte nach Rolle</w:t>
      </w:r>
    </w:p>
    <w:p>
      <w:pPr>
        <w:spacing w:after="200" w:line="300"/>
      </w:pPr>
      <w:r>
        <w:rPr>
          <w:rFonts w:ascii="Calibri" w:cs="Calibri" w:eastAsia="Calibri" w:hAnsi="Calibri"/>
          <w:b/>
          <w:bCs/>
          <w:color w:val="1F2937"/>
          <w:sz w:val="22"/>
          <w:szCs w:val="22"/>
        </w:rPr>
        <w:t xml:space="preserve">Desktops —</w:t>
      </w:r>
      <w:r>
        <w:rPr>
          <w:rFonts w:ascii="Calibri" w:cs="Calibri" w:eastAsia="Calibri" w:hAnsi="Calibri"/>
          <w:color w:val="1F2937"/>
          <w:sz w:val="22"/>
          <w:szCs w:val="22"/>
        </w:rPr>
        <w:t xml:space="preserve"> Verlademanager, Fleet, Admin, Planner und VMU arbeiten an einem festen Schreibtisch, daher genügt ein normaler Desktop oder Laptop im kabelgebundenen oder WLAN-Büronetz. Jeder öffnet einfach einen Browser, der auf den Host-Rechner zeigt.</w:t>
      </w:r>
    </w:p>
    <w:p>
      <w:pPr>
        <w:spacing w:after="200" w:line="300"/>
      </w:pPr>
      <w:r>
        <w:rPr>
          <w:rFonts w:ascii="Calibri" w:cs="Calibri" w:eastAsia="Calibri" w:hAnsi="Calibri"/>
          <w:b/>
          <w:bCs/>
          <w:color w:val="1F2937"/>
          <w:sz w:val="22"/>
          <w:szCs w:val="22"/>
        </w:rPr>
        <w:t xml:space="preserve">Tablets —</w:t>
      </w:r>
      <w:r>
        <w:rPr>
          <w:rFonts w:ascii="Calibri" w:cs="Calibri" w:eastAsia="Calibri" w:hAnsi="Calibri"/>
          <w:color w:val="1F2937"/>
          <w:sz w:val="22"/>
          <w:szCs w:val="22"/>
        </w:rPr>
        <w:t xml:space="preserve"> Shunter sind im Depot unterwegs und sitzen nicht am Schreibtisch, deshalb ist ihr Bildschirm ein Tablet in der Kabine des Rangierfahrzeugs. Es verbindet sich wie ein Desktop — per WLAN statt Kabel —, weshalb die Abdeckung im gesamten Depot gerade für diese Rolle so wichtig ist.</w:t>
      </w:r>
    </w:p>
    <w:p>
      <w:pPr>
        <w:pStyle w:val="ListParagraph"/>
        <w:numPr>
          <w:ilvl w:val="0"/>
          <w:numId w:val="6"/>
        </w:numPr>
        <w:spacing w:after="120" w:line="290"/>
      </w:pPr>
      <w:r>
        <w:rPr>
          <w:rFonts w:ascii="Calibri" w:cs="Calibri" w:eastAsia="Calibri" w:hAnsi="Calibri"/>
          <w:color w:val="1F2937"/>
          <w:sz w:val="22"/>
          <w:szCs w:val="22"/>
        </w:rPr>
        <w:t xml:space="preserve">Idealerweise 15,6″ oder größer</w:t>
      </w:r>
    </w:p>
    <w:p>
      <w:pPr>
        <w:pStyle w:val="ListParagraph"/>
        <w:numPr>
          <w:ilvl w:val="0"/>
          <w:numId w:val="6"/>
        </w:numPr>
        <w:spacing w:after="120" w:line="290"/>
      </w:pPr>
      <w:r>
        <w:rPr>
          <w:rFonts w:ascii="Calibri" w:cs="Calibri" w:eastAsia="Calibri" w:hAnsi="Calibri"/>
          <w:color w:val="1F2937"/>
          <w:sz w:val="22"/>
          <w:szCs w:val="22"/>
        </w:rPr>
        <w:t xml:space="preserve">Auf die Anzeige von TASc6 reduzierte Android-Tablets funktionieren gut — jede Hardware mit Browser und WLAN genügt</w:t>
      </w:r>
    </w:p>
    <w:p>
      <w:pPr>
        <w:pStyle w:val="ListParagraph"/>
        <w:numPr>
          <w:ilvl w:val="0"/>
          <w:numId w:val="6"/>
        </w:numPr>
        <w:spacing w:after="120" w:line="290"/>
      </w:pPr>
      <w:r>
        <w:rPr>
          <w:rFonts w:ascii="Calibri" w:cs="Calibri" w:eastAsia="Calibri" w:hAnsi="Calibri"/>
          <w:color w:val="1F2937"/>
          <w:sz w:val="22"/>
          <w:szCs w:val="22"/>
        </w:rPr>
        <w:t xml:space="preserve">Es braucht überall Empfang, wo das Rangierfahrzeug hinfährt, nicht nur in Büronähe</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WLAN-Abdeckung.  </w:t>
      </w:r>
      <w:r>
        <w:rPr>
          <w:rFonts w:ascii="Calibri" w:cs="Calibri" w:eastAsia="Calibri" w:hAnsi="Calibri"/>
          <w:color w:val="4B5563"/>
          <w:sz w:val="22"/>
          <w:szCs w:val="22"/>
        </w:rPr>
        <w:t xml:space="preserve"> Da Shunter TASc6 aus einem fahrenden Fahrzeug betrachten, zeigt sich lückenhaftes WLAN irgendwo am Standort sofort als abbrechender Bildschirm im Rangierfahrzeug. Außentaugliche Access Points, die so platziert sind, dass sie die gesamte Depotfläche abdecken — Tore, Ladebereiche, die entferntesten Ecken —, machen das zuverlässig. Es ist viel einfacher, Access Points gleich zu Beginn richtig zu vermessen und zu platzieren, als einem Funkloch nachzujagen, wenn sich Shunter schon darauf verlassen. Wenn Sie nicht sicher sind, wie viele Ihr Depot braucht, lohnt sich eine Standortbegehung durch Ihren Netzwerkinstallateur.</w:t>
      </w:r>
    </w:p>
    <w:p>
      <w:pPr>
        <w:pStyle w:val="Heading2"/>
        <w:spacing w:after="160" w:before="360"/>
      </w:pPr>
      <w:r>
        <w:rPr>
          <w:rFonts w:ascii="Calibri" w:cs="Calibri" w:eastAsia="Calibri" w:hAnsi="Calibri"/>
          <w:b/>
          <w:bCs/>
          <w:color w:val="1F2937"/>
          <w:sz w:val="27"/>
          <w:szCs w:val="27"/>
        </w:rPr>
        <w:t xml:space="preserve">3.3 Schritt für Schritt</w:t>
      </w:r>
    </w:p>
    <w:p>
      <w:pPr>
        <w:pStyle w:val="ListParagraph"/>
        <w:numPr>
          <w:ilvl w:val="0"/>
          <w:numId w:val="7"/>
        </w:numPr>
        <w:spacing w:after="180" w:line="290"/>
      </w:pPr>
      <w:r>
        <w:rPr>
          <w:rFonts w:ascii="Calibri" w:cs="Calibri" w:eastAsia="Calibri" w:hAnsi="Calibri"/>
          <w:color w:val="1F2937"/>
          <w:sz w:val="22"/>
          <w:szCs w:val="22"/>
        </w:rPr>
        <w:t xml:space="preserve">Netzwerk vorbereiten — richten Sie ein eigenes VLAN für den TASc6-Verkehr ein, getrennt vom allgemeinen Büro- und Gast-WLAN.</w:t>
      </w:r>
    </w:p>
    <w:p>
      <w:pPr>
        <w:pStyle w:val="ListParagraph"/>
        <w:numPr>
          <w:ilvl w:val="0"/>
          <w:numId w:val="7"/>
        </w:numPr>
        <w:spacing w:after="180" w:line="290"/>
      </w:pPr>
      <w:r>
        <w:rPr>
          <w:rFonts w:ascii="Calibri" w:cs="Calibri" w:eastAsia="Calibri" w:hAnsi="Calibri"/>
          <w:color w:val="1F2937"/>
          <w:sz w:val="22"/>
          <w:szCs w:val="22"/>
        </w:rPr>
        <w:t xml:space="preserve">Access Points platzieren — installieren Sie Außen-Access-Points, die die gesamte Depotfläche abdecken und im selben VLAN hängen. Gehen oder fahren Sie danach das ganze Depot ab und prüfen Sie, dass auf keiner Strecke, die ein Rangierfahrzeug tatsächlich nimmt, ein Funkloch liegt.</w:t>
      </w:r>
    </w:p>
    <w:p>
      <w:pPr>
        <w:pStyle w:val="ListParagraph"/>
        <w:numPr>
          <w:ilvl w:val="0"/>
          <w:numId w:val="7"/>
        </w:numPr>
        <w:spacing w:after="180" w:line="290"/>
      </w:pPr>
      <w:r>
        <w:rPr>
          <w:rFonts w:ascii="Calibri" w:cs="Calibri" w:eastAsia="Calibri" w:hAnsi="Calibri"/>
          <w:color w:val="1F2937"/>
          <w:sz w:val="22"/>
          <w:szCs w:val="22"/>
        </w:rPr>
        <w:t xml:space="preserve">Host-Rechner auswählen — ein Windows-10-, -11- oder Server-Rechner, Desktop oder kleiner Server. Schließen Sie ihn möglichst per Kabel an und lassen Sie ihn eingeschaltet.</w:t>
      </w:r>
    </w:p>
    <w:p>
      <w:pPr>
        <w:pStyle w:val="ListParagraph"/>
        <w:numPr>
          <w:ilvl w:val="0"/>
          <w:numId w:val="7"/>
        </w:numPr>
        <w:spacing w:after="180" w:line="290"/>
      </w:pPr>
      <w:r>
        <w:rPr>
          <w:rFonts w:ascii="Calibri" w:cs="Calibri" w:eastAsia="Calibri" w:hAnsi="Calibri"/>
          <w:color w:val="1F2937"/>
          <w:sz w:val="22"/>
          <w:szCs w:val="22"/>
        </w:rPr>
        <w:t xml:space="preserve">Installationsprogramm herunterladen und ausführen — siehe Kapitel 2.</w:t>
      </w:r>
    </w:p>
    <w:p>
      <w:pPr>
        <w:pStyle w:val="ListParagraph"/>
        <w:numPr>
          <w:ilvl w:val="0"/>
          <w:numId w:val="7"/>
        </w:numPr>
        <w:spacing w:after="180" w:line="290"/>
      </w:pPr>
      <w:r>
        <w:rPr>
          <w:rFonts w:ascii="Calibri" w:cs="Calibri" w:eastAsia="Calibri" w:hAnsi="Calibri"/>
          <w:color w:val="1F2937"/>
          <w:sz w:val="22"/>
          <w:szCs w:val="22"/>
        </w:rPr>
        <w:t xml:space="preserve">Dem Host-Rechner eine feste Adresse geben — eine statische IP oder DHCP-Reservierung auf Ihrem Router, damit sich seine Adresse nie ändert. Alle anderen Geräte am Standort zeigen auf diese Adresse.</w:t>
      </w:r>
    </w:p>
    <w:p>
      <w:pPr>
        <w:pStyle w:val="ListParagraph"/>
        <w:numPr>
          <w:ilvl w:val="0"/>
          <w:numId w:val="7"/>
        </w:numPr>
        <w:spacing w:after="180" w:line="290"/>
      </w:pPr>
      <w:r>
        <w:rPr>
          <w:rFonts w:ascii="Calibri" w:cs="Calibri" w:eastAsia="Calibri" w:hAnsi="Calibri"/>
          <w:color w:val="1F2937"/>
          <w:sz w:val="22"/>
          <w:szCs w:val="22"/>
        </w:rPr>
        <w:t xml:space="preserve">Büro-Desktops verbinden — öffnen Sie auf jedem Desktop von Verlademanager, Fleet, Admin, Planner oder VMU einen Browser mit der Adresse des Host-Rechners (z. B. http://192.168.x.x:3000), melden Sie sich mit dem Konto der Rolle an und legen Sie ein Lesezeichen an.</w:t>
      </w:r>
    </w:p>
    <w:p>
      <w:pPr>
        <w:pStyle w:val="ListParagraph"/>
        <w:numPr>
          <w:ilvl w:val="0"/>
          <w:numId w:val="7"/>
        </w:numPr>
        <w:spacing w:after="180" w:line="290"/>
      </w:pPr>
      <w:r>
        <w:rPr>
          <w:rFonts w:ascii="Calibri" w:cs="Calibri" w:eastAsia="Calibri" w:hAnsi="Calibri"/>
          <w:color w:val="1F2937"/>
          <w:sz w:val="22"/>
          <w:szCs w:val="22"/>
        </w:rPr>
        <w:t xml:space="preserve">Tablets verbinden und montieren — verbinden Sie jedes Tablet mit dem Depot-WLAN, öffnen Sie einen Browser mit derselben Host-Adresse, melden Sie sich mit dem Shunter-Konto an und montieren Sie das Tablet in der Kabine des Rangierfahrzeugs.</w:t>
      </w:r>
    </w:p>
    <w:p>
      <w:pPr>
        <w:pStyle w:val="ListParagraph"/>
        <w:numPr>
          <w:ilvl w:val="0"/>
          <w:numId w:val="7"/>
        </w:numPr>
        <w:spacing w:after="180" w:line="290"/>
      </w:pPr>
      <w:r>
        <w:rPr>
          <w:rFonts w:ascii="Calibri" w:cs="Calibri" w:eastAsia="Calibri" w:hAnsi="Calibri"/>
          <w:color w:val="1F2937"/>
          <w:sz w:val="22"/>
          <w:szCs w:val="22"/>
        </w:rPr>
        <w:t xml:space="preserve">Den Standort vor dem Go-live abgehen — fahren Sie mit laufendem Tablet in einem Rangierfahrzeug durch das gesamte Depot und prüfen Sie, dass die Verbindung überall hält, wo ein Shunter tatsächlich arbeiten wird, nicht nur in Büronähe.</w:t>
      </w:r>
    </w:p>
    <w:p>
      <w:pPr>
        <w:pStyle w:val="ListParagraph"/>
        <w:numPr>
          <w:ilvl w:val="0"/>
          <w:numId w:val="7"/>
        </w:numPr>
        <w:spacing w:after="180" w:line="290"/>
      </w:pPr>
      <w:r>
        <w:rPr>
          <w:rFonts w:ascii="Calibri" w:cs="Calibri" w:eastAsia="Calibri" w:hAnsi="Calibri"/>
          <w:color w:val="1F2937"/>
          <w:sz w:val="22"/>
          <w:szCs w:val="22"/>
        </w:rPr>
        <w:t xml:space="preserve">Lizenz aktivieren — siehe Kapitel 2.7.</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Planen Sie einen Multi-Site-Rollout?  </w:t>
      </w:r>
      <w:r>
        <w:rPr>
          <w:rFonts w:ascii="Calibri" w:cs="Calibri" w:eastAsia="Calibri" w:hAnsi="Calibri"/>
          <w:color w:val="4B5563"/>
          <w:sz w:val="22"/>
          <w:szCs w:val="22"/>
        </w:rPr>
        <w:t xml:space="preserve"> Schreiben Sie an info@tasc6.net, wir helfen Ihnen, Netzwerk und Geräte zu planen, bevor Sie etwas kaufen.</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4. Erste Schritte</w:t>
      </w:r>
    </w:p>
    <w:p>
      <w:pPr>
        <w:pStyle w:val="Heading2"/>
        <w:spacing w:after="160" w:before="360"/>
      </w:pPr>
      <w:r>
        <w:rPr>
          <w:rFonts w:ascii="Calibri" w:cs="Calibri" w:eastAsia="Calibri" w:hAnsi="Calibri"/>
          <w:b/>
          <w:bCs/>
          <w:color w:val="1F2937"/>
          <w:sz w:val="27"/>
          <w:szCs w:val="27"/>
        </w:rPr>
        <w:t xml:space="preserve">4.1 Anmelden</w:t>
      </w:r>
    </w:p>
    <w:p>
      <w:pPr>
        <w:spacing w:after="200" w:line="300"/>
      </w:pPr>
      <w:r>
        <w:rPr>
          <w:rFonts w:ascii="Calibri" w:cs="Calibri" w:eastAsia="Calibri" w:hAnsi="Calibri"/>
          <w:color w:val="1F2937"/>
          <w:sz w:val="22"/>
          <w:szCs w:val="22"/>
        </w:rPr>
        <w:t xml:space="preserve">Jeder Benutzer meldet sich mit Benutzername, Passwort und einem Standort an. Ihr Admin richtet Ihr Konto ein und teilt Ihnen Ihren Benutzernamen, Ihr Startpasswort und die Standorte mit, bei denen Sie sich anmelden können.</w:t>
      </w:r>
    </w:p>
    <w:p>
      <w:pPr>
        <w:pStyle w:val="Heading2"/>
        <w:spacing w:after="160" w:before="360"/>
      </w:pPr>
      <w:r>
        <w:rPr>
          <w:rFonts w:ascii="Calibri" w:cs="Calibri" w:eastAsia="Calibri" w:hAnsi="Calibri"/>
          <w:b/>
          <w:bCs/>
          <w:color w:val="1F2937"/>
          <w:sz w:val="27"/>
          <w:szCs w:val="27"/>
        </w:rPr>
        <w:t xml:space="preserve">4.2 Sich zurechtfinden</w:t>
      </w:r>
    </w:p>
    <w:p>
      <w:pPr>
        <w:spacing w:after="200" w:line="300"/>
      </w:pPr>
      <w:r>
        <w:rPr>
          <w:rFonts w:ascii="Calibri" w:cs="Calibri" w:eastAsia="Calibri" w:hAnsi="Calibri"/>
          <w:color w:val="1F2937"/>
          <w:sz w:val="22"/>
          <w:szCs w:val="22"/>
        </w:rPr>
        <w:t xml:space="preserve">Nach der Anmeldung landen Sie auf dem einen Bildschirm, der für Ihre Rolle gebaut ist — es gibt kein Menü, in dem Sie suchen müssten. Admin, Planner und Fleet sind die einzigen Rollen mit mehr als einer Seite, weil nur sie das je brauchen.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Alles aktualisiert sich live.  </w:t>
      </w:r>
      <w:r>
        <w:rPr>
          <w:rFonts w:ascii="Calibri" w:cs="Calibri" w:eastAsia="Calibri" w:hAnsi="Calibri"/>
          <w:color w:val="4B5563"/>
          <w:sz w:val="22"/>
          <w:szCs w:val="22"/>
        </w:rPr>
        <w:t xml:space="preserve"> Bucht jemand anderes an der Pforte einen Trailer ein, weist einen Fahrer zu oder schließt einen Stellplatz ab, aktualisiert sich Ihr Bildschirm innerhalb von ein bis zwei Sekunden von selbst — Sie müssen nie neu laden.</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5. Admin</w:t>
      </w:r>
    </w:p>
    <w:p>
      <w:pPr>
        <w:spacing w:after="200" w:line="300"/>
      </w:pPr>
      <w:r>
        <w:rPr>
          <w:rFonts w:ascii="Calibri" w:cs="Calibri" w:eastAsia="Calibri" w:hAnsi="Calibri"/>
          <w:color w:val="1F2937"/>
          <w:sz w:val="22"/>
          <w:szCs w:val="22"/>
        </w:rPr>
        <w:t xml:space="preserve">Admin richtet alles ein, womit die anderen Rollen im Alltag arbeiten. Die Oberfläche ist in Tabs gegliedert: Dashboard, Trailers, Trucks, Drivers, Users, Bays, Bay Restrictions, Backups, Sites, Trailer Types, Configurations, Audit Log und System.</w:t>
      </w:r>
    </w:p>
    <w:p>
      <w:pPr>
        <w:pStyle w:val="Heading2"/>
        <w:spacing w:after="160" w:before="360"/>
      </w:pPr>
      <w:r>
        <w:rPr>
          <w:rFonts w:ascii="Calibri" w:cs="Calibri" w:eastAsia="Calibri" w:hAnsi="Calibri"/>
          <w:b/>
          <w:bCs/>
          <w:color w:val="1F2937"/>
          <w:sz w:val="27"/>
          <w:szCs w:val="27"/>
        </w:rPr>
        <w:t xml:space="preserve">5.1 Dashboard</w:t>
      </w:r>
    </w:p>
    <w:p>
      <w:pPr>
        <w:spacing w:after="200" w:line="300"/>
      </w:pPr>
      <w:r>
        <w:rPr>
          <w:rFonts w:ascii="Calibri" w:cs="Calibri" w:eastAsia="Calibri" w:hAnsi="Calibri"/>
          <w:color w:val="1F2937"/>
          <w:sz w:val="22"/>
          <w:szCs w:val="22"/>
        </w:rPr>
        <w:t xml:space="preserve">Eine Übersicht auf einen Blick: Gesamtzahl der Trailer, Gesamtzahl der Benutzer, aktuell aktive Trailer und wie viele Bewegungen gerade im Depot ausstehen.</w:t>
      </w:r>
    </w:p>
    <w:p>
      <w:pPr>
        <w:pStyle w:val="Heading2"/>
        <w:spacing w:after="160" w:before="360"/>
      </w:pPr>
      <w:r>
        <w:rPr>
          <w:rFonts w:ascii="Calibri" w:cs="Calibri" w:eastAsia="Calibri" w:hAnsi="Calibri"/>
          <w:b/>
          <w:bCs/>
          <w:color w:val="1F2937"/>
          <w:sz w:val="27"/>
          <w:szCs w:val="27"/>
        </w:rPr>
        <w:t xml:space="preserve">5.2 Sites</w:t>
      </w:r>
    </w:p>
    <w:p>
      <w:pPr>
        <w:spacing w:after="200" w:line="300"/>
      </w:pPr>
      <w:r>
        <w:rPr>
          <w:rFonts w:ascii="Calibri" w:cs="Calibri" w:eastAsia="Calibri" w:hAnsi="Calibri"/>
          <w:color w:val="1F2937"/>
          <w:sz w:val="22"/>
          <w:szCs w:val="22"/>
        </w:rPr>
        <w:t xml:space="preserve">Standorte hinzufügen, umbenennen oder entfernen (nur Multi-Site-Installationen brauchen mehr als einen). Jeder Standort kann einen Default Haulier (Standard-Spediteur) tragen — ist er gesetzt, füllt er das Feld Haulier in den Eingangs- und Ausgangsmasken von Security für diesen Standort vor, sodass Security nicht bei jedem Pfortenereignis denselben Spediteur neu eintippen muss. Es ist nur ein Startwert; Security kann ihn für eine bestimmte Ladung jederzeit überschreiben.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Standortcode.  </w:t>
      </w:r>
      <w:r>
        <w:rPr>
          <w:rFonts w:ascii="Calibri" w:cs="Calibri" w:eastAsia="Calibri" w:hAnsi="Calibri"/>
          <w:color w:val="4B5563"/>
          <w:sz w:val="22"/>
          <w:szCs w:val="22"/>
        </w:rPr>
        <w:t xml:space="preserve"> Wird beim Anlegen eines Standorts gewählt und lässt sich danach nicht mehr ändern, da andere Datensätze (Trailer, Stellplätze, Benutzer) direkt darauf verweisen. Nur Standortname und Standard-Spediteur können später bearbeitet werden.</w:t>
      </w:r>
    </w:p>
    <w:p>
      <w:pPr>
        <w:pStyle w:val="Heading2"/>
        <w:spacing w:after="160" w:before="360"/>
      </w:pPr>
      <w:r>
        <w:rPr>
          <w:rFonts w:ascii="Calibri" w:cs="Calibri" w:eastAsia="Calibri" w:hAnsi="Calibri"/>
          <w:b/>
          <w:bCs/>
          <w:color w:val="1F2937"/>
          <w:sz w:val="27"/>
          <w:szCs w:val="27"/>
        </w:rPr>
        <w:t xml:space="preserve">5.3 Trailer-Typen und Konfigurationen</w:t>
      </w:r>
    </w:p>
    <w:p>
      <w:pPr>
        <w:spacing w:after="200" w:line="300"/>
      </w:pPr>
      <w:r>
        <w:rPr>
          <w:rFonts w:ascii="Calibri" w:cs="Calibri" w:eastAsia="Calibri" w:hAnsi="Calibri"/>
          <w:color w:val="1F2937"/>
          <w:sz w:val="22"/>
          <w:szCs w:val="22"/>
        </w:rPr>
        <w:t xml:space="preserve">Trailer Types (z. B. „13,6-m-Planenauflieger“) und Configurations beschreiben, was ein Trailer ist, für Planung und Beschränkungen. Beide unterstützen Hinzufügen, Bearbeiten und Löschen in ihren eigenen Tabs.</w:t>
      </w:r>
    </w:p>
    <w:p>
      <w:pPr>
        <w:pStyle w:val="Heading2"/>
        <w:spacing w:after="160" w:before="360"/>
      </w:pPr>
      <w:r>
        <w:rPr>
          <w:rFonts w:ascii="Calibri" w:cs="Calibri" w:eastAsia="Calibri" w:hAnsi="Calibri"/>
          <w:b/>
          <w:bCs/>
          <w:color w:val="1F2937"/>
          <w:sz w:val="27"/>
          <w:szCs w:val="27"/>
        </w:rPr>
        <w:t xml:space="preserve">5.4 Trailer</w:t>
      </w:r>
    </w:p>
    <w:p>
      <w:pPr>
        <w:spacing w:after="200" w:line="300"/>
      </w:pPr>
      <w:r>
        <w:rPr>
          <w:rFonts w:ascii="Calibri" w:cs="Calibri" w:eastAsia="Calibri" w:hAnsi="Calibri"/>
          <w:color w:val="1F2937"/>
          <w:sz w:val="22"/>
          <w:szCs w:val="22"/>
        </w:rPr>
        <w:t xml:space="preserve">Die vollständige Trailer-Liste aller Standorte: Nummer, Standort, Typ, Status, aktueller Stellplatz und Route. Hier fügen Sie einen neuen Trailer hinzu, bearbeiten seinen Typ bzw. seine Konfiguration oder löschen ihn.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Einen Trailer löschen.  </w:t>
      </w:r>
      <w:r>
        <w:rPr>
          <w:rFonts w:ascii="Calibri" w:cs="Calibri" w:eastAsia="Calibri" w:hAnsi="Calibri"/>
          <w:color w:val="4B5563"/>
          <w:sz w:val="22"/>
          <w:szCs w:val="22"/>
        </w:rPr>
        <w:t xml:space="preserve"> Alle anderen Einträge (Benutzer, Lkw, Stellplätze, Standorte) werden beim Entfernen endgültig gelöscht. Trailer sind die einzige Ausnahme — das Entfernen markiert einen Trailer als inaktiv, statt ihn zu löschen, weil Bewegungsverlauf, Pfortenprotokolle und Lieferdatensätze oft noch auf ihn verweisen. Das ist Absicht, kein Fehler.</w:t>
      </w:r>
    </w:p>
    <w:p>
      <w:pPr>
        <w:pStyle w:val="Heading2"/>
        <w:spacing w:after="160" w:before="360"/>
      </w:pPr>
      <w:r>
        <w:rPr>
          <w:rFonts w:ascii="Calibri" w:cs="Calibri" w:eastAsia="Calibri" w:hAnsi="Calibri"/>
          <w:b/>
          <w:bCs/>
          <w:color w:val="1F2937"/>
          <w:sz w:val="27"/>
          <w:szCs w:val="27"/>
        </w:rPr>
        <w:t xml:space="preserve">5.5 Lkw und Fahrer</w:t>
      </w:r>
    </w:p>
    <w:p>
      <w:pPr>
        <w:spacing w:after="200" w:line="300"/>
      </w:pPr>
      <w:r>
        <w:rPr>
          <w:rFonts w:ascii="Calibri" w:cs="Calibri" w:eastAsia="Calibri" w:hAnsi="Calibri"/>
          <w:color w:val="1F2937"/>
          <w:sz w:val="22"/>
          <w:szCs w:val="22"/>
        </w:rPr>
        <w:t xml:space="preserve">Fügen Sie Lkw (Kennzeichen, Heimatstandort) und Fahrer (Name, Telefon, Führerscheinnummer, Heimatstandort) hinzu, bearbeiten und entfernen Sie sie. Beide funktionieren nach demselben Prinzip der direkten Bearbeitung wie alles andere in Admin.</w:t>
      </w:r>
    </w:p>
    <w:p>
      <w:pPr>
        <w:pStyle w:val="Heading2"/>
        <w:spacing w:after="160" w:before="360"/>
      </w:pPr>
      <w:r>
        <w:rPr>
          <w:rFonts w:ascii="Calibri" w:cs="Calibri" w:eastAsia="Calibri" w:hAnsi="Calibri"/>
          <w:b/>
          <w:bCs/>
          <w:color w:val="1F2937"/>
          <w:sz w:val="27"/>
          <w:szCs w:val="27"/>
        </w:rPr>
        <w:t xml:space="preserve">5.6 Stellplätze und Stellplatzbeschränkungen</w:t>
      </w:r>
    </w:p>
    <w:p>
      <w:pPr>
        <w:spacing w:after="200" w:line="300"/>
      </w:pPr>
      <w:r>
        <w:rPr>
          <w:rFonts w:ascii="Calibri" w:cs="Calibri" w:eastAsia="Calibri" w:hAnsi="Calibri"/>
          <w:color w:val="1F2937"/>
          <w:sz w:val="22"/>
          <w:szCs w:val="22"/>
        </w:rPr>
        <w:t xml:space="preserve">Bays listet jeden Stellplatz an jedem Standort — Nummer, Bereich (z. B. INTAKE, FROZEN, CHILL, DEKIT), Rasterposition, Status und ob er aktiv ist. Beim Bearbeiten eines Stellplatzes können Sie Bereich, Rasterposition, Status und Anzeigereihenfolge ändern; Standort und Stellplatznummer selbst sind nach dem Anlegen fest, da sie die Identität des Stellplatzes bilden.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Das Feld Area.  </w:t>
      </w:r>
      <w:r>
        <w:rPr>
          <w:rFonts w:ascii="Calibri" w:cs="Calibri" w:eastAsia="Calibri" w:hAnsi="Calibri"/>
          <w:color w:val="4B5563"/>
          <w:sz w:val="22"/>
          <w:szCs w:val="22"/>
        </w:rPr>
        <w:t xml:space="preserve"> Es ist Freitext, keine feste Liste — der Platzhalter schlägt LOADING, INTAKE, FREEZER, CHILL oder DEKIT als Beispiele vor. Schreiben Sie Dekit-Stellplätze an Ihrem Standort durchgehend genau als DEKIT, damit Loader, Dekit und Shunter sie alle gleich erkennen (das System ignoriert die Groß-/Kleinschreibung, aber eine einheitliche eigene Benennung vermeidet Verwirrung im Team).</w:t>
      </w:r>
    </w:p>
    <w:p>
      <w:pPr>
        <w:spacing w:after="200" w:line="300"/>
      </w:pPr>
      <w:r>
        <w:rPr>
          <w:rFonts w:ascii="Calibri" w:cs="Calibri" w:eastAsia="Calibri" w:hAnsi="Calibri"/>
          <w:color w:val="1F2937"/>
          <w:sz w:val="22"/>
          <w:szCs w:val="22"/>
        </w:rPr>
        <w:t xml:space="preserve">Mit Bay Restrictions können Sie einschränken, welche Trailer-Typen auf einen Bereich von Stellplätzen dürfen — nützlich, wenn zum Beispiel nur bestimmte Stellplatznummern physisch einen 13,6-m-Trailer aufnehmen können. Beschränkungen lassen sich neben dem Typ auch nach Präfix der Trailer-Nummer filtern und können deaktiviert werden, ohne sie zu löschen.</w:t>
      </w:r>
    </w:p>
    <w:p>
      <w:pPr>
        <w:pStyle w:val="Heading2"/>
        <w:spacing w:after="160" w:before="360"/>
      </w:pPr>
      <w:r>
        <w:rPr>
          <w:rFonts w:ascii="Calibri" w:cs="Calibri" w:eastAsia="Calibri" w:hAnsi="Calibri"/>
          <w:b/>
          <w:bCs/>
          <w:color w:val="1F2937"/>
          <w:sz w:val="27"/>
          <w:szCs w:val="27"/>
        </w:rPr>
        <w:t xml:space="preserve">5.7 Benutzer</w:t>
      </w:r>
    </w:p>
    <w:p>
      <w:pPr>
        <w:spacing w:after="200" w:line="300"/>
      </w:pPr>
      <w:r>
        <w:rPr>
          <w:rFonts w:ascii="Calibri" w:cs="Calibri" w:eastAsia="Calibri" w:hAnsi="Calibri"/>
          <w:color w:val="1F2937"/>
          <w:sz w:val="22"/>
          <w:szCs w:val="22"/>
        </w:rPr>
        <w:t xml:space="preserve">Benutzerkonten anlegen, bearbeiten und deaktivieren: Benutzername, Rolle, Heimatstandort und aktiv/inaktiv. Beim Bearbeiten eines Benutzers können Sie Rolle, Heimatstandort und Aktivstatus ändern; ein neues Passwort lässt sich jederzeit im selben Bildschirm setzen. Der Benutzername selbst kann nach dem Anlegen nicht geändert werden.</w:t>
      </w:r>
    </w:p>
    <w:p>
      <w:pPr>
        <w:pStyle w:val="Heading2"/>
        <w:spacing w:after="160" w:before="360"/>
      </w:pPr>
      <w:r>
        <w:rPr>
          <w:rFonts w:ascii="Calibri" w:cs="Calibri" w:eastAsia="Calibri" w:hAnsi="Calibri"/>
          <w:b/>
          <w:bCs/>
          <w:color w:val="1F2937"/>
          <w:sz w:val="27"/>
          <w:szCs w:val="27"/>
        </w:rPr>
        <w:t xml:space="preserve">5.8 Backups</w:t>
      </w:r>
    </w:p>
    <w:p>
      <w:pPr>
        <w:spacing w:after="200" w:line="300"/>
      </w:pPr>
      <w:r>
        <w:rPr>
          <w:rFonts w:ascii="Calibri" w:cs="Calibri" w:eastAsia="Calibri" w:hAnsi="Calibri"/>
          <w:color w:val="1F2937"/>
          <w:sz w:val="22"/>
          <w:szCs w:val="22"/>
        </w:rPr>
        <w:t xml:space="preserve">Legen Sie einen Backup-Ordner und eine Aufbewahrungsdauer für die Datenbank fest und sehen Sie, wann das letzte und das nächste geplante Backup lief. Neben dem regulären Datenbank-Backup läuft ein wöchentliches Backup, jeweils mit eigener Aufbewahrungseinstellung.</w:t>
      </w:r>
    </w:p>
    <w:p>
      <w:pPr>
        <w:pStyle w:val="Heading2"/>
        <w:spacing w:after="160" w:before="360"/>
      </w:pPr>
      <w:r>
        <w:rPr>
          <w:rFonts w:ascii="Calibri" w:cs="Calibri" w:eastAsia="Calibri" w:hAnsi="Calibri"/>
          <w:b/>
          <w:bCs/>
          <w:color w:val="1F2937"/>
          <w:sz w:val="27"/>
          <w:szCs w:val="27"/>
        </w:rPr>
        <w:t xml:space="preserve">5.9 Audit Log</w:t>
      </w:r>
    </w:p>
    <w:p>
      <w:pPr>
        <w:spacing w:after="200" w:line="300"/>
      </w:pPr>
      <w:r>
        <w:rPr>
          <w:rFonts w:ascii="Calibri" w:cs="Calibri" w:eastAsia="Calibri" w:hAnsi="Calibri"/>
          <w:color w:val="1F2937"/>
          <w:sz w:val="22"/>
          <w:szCs w:val="22"/>
        </w:rPr>
        <w:t xml:space="preserve">Ein fortlaufendes Protokoll, wer wann was getan hat — jedes Anlegen, Bearbeiten, Löschen und jedes Pfortenereignis im System, mit Benutzername, Zeitstempel, Standort und Details.</w:t>
      </w:r>
    </w:p>
    <w:p>
      <w:pPr>
        <w:pStyle w:val="Heading2"/>
        <w:spacing w:after="160" w:before="360"/>
      </w:pPr>
      <w:r>
        <w:rPr>
          <w:rFonts w:ascii="Calibri" w:cs="Calibri" w:eastAsia="Calibri" w:hAnsi="Calibri"/>
          <w:b/>
          <w:bCs/>
          <w:color w:val="1F2937"/>
          <w:sz w:val="27"/>
          <w:szCs w:val="27"/>
        </w:rPr>
        <w:t xml:space="preserve">5.10 System</w:t>
      </w:r>
    </w:p>
    <w:p>
      <w:pPr>
        <w:spacing w:after="200" w:line="300"/>
      </w:pPr>
      <w:r>
        <w:rPr>
          <w:rFonts w:ascii="Calibri" w:cs="Calibri" w:eastAsia="Calibri" w:hAnsi="Calibri"/>
          <w:color w:val="1F2937"/>
          <w:sz w:val="22"/>
          <w:szCs w:val="22"/>
        </w:rPr>
        <w:t xml:space="preserve">Schreibgeschützte Diagnoseinformationen — Node.js- und SQLite-Versionen, Umgebung, Server-Laufzeit und Serverzeit — hilfreich, wenn Sie dem Support ein Problem melden.</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6. Planner</w:t>
      </w:r>
    </w:p>
    <w:p>
      <w:pPr>
        <w:spacing w:after="200" w:line="300"/>
      </w:pPr>
      <w:r>
        <w:rPr>
          <w:rFonts w:ascii="Calibri" w:cs="Calibri" w:eastAsia="Calibri" w:hAnsi="Calibri"/>
          <w:color w:val="1F2937"/>
          <w:sz w:val="22"/>
          <w:szCs w:val="22"/>
        </w:rPr>
        <w:t xml:space="preserve">Planner gliedert sich in drei Tabs: Delivery Sites, Restrictions und Route Allocation.</w:t>
      </w:r>
    </w:p>
    <w:p>
      <w:pPr>
        <w:pStyle w:val="Heading2"/>
        <w:spacing w:after="160" w:before="360"/>
      </w:pPr>
      <w:r>
        <w:rPr>
          <w:rFonts w:ascii="Calibri" w:cs="Calibri" w:eastAsia="Calibri" w:hAnsi="Calibri"/>
          <w:b/>
          <w:bCs/>
          <w:color w:val="1F2937"/>
          <w:sz w:val="27"/>
          <w:szCs w:val="27"/>
        </w:rPr>
        <w:t xml:space="preserve">6.1 Lieferstandorte</w:t>
      </w:r>
    </w:p>
    <w:p>
      <w:pPr>
        <w:spacing w:after="200" w:line="300"/>
      </w:pPr>
      <w:r>
        <w:rPr>
          <w:rFonts w:ascii="Calibri" w:cs="Calibri" w:eastAsia="Calibri" w:hAnsi="Calibri"/>
          <w:color w:val="1F2937"/>
          <w:sz w:val="22"/>
          <w:szCs w:val="22"/>
        </w:rPr>
        <w:t xml:space="preserve">Die Liste der Lieferziele, zu denen Trailer geroutet werden können — jeweils mit Nummer, Name und allen dafür geltenden Beschränkungen (siehe 6.2). Lieferstandorte suchen, hinzufügen, bearbeiten und deaktivieren Sie in diesem Tab.</w:t>
      </w:r>
    </w:p>
    <w:p>
      <w:pPr>
        <w:pStyle w:val="Heading2"/>
        <w:spacing w:after="160" w:before="360"/>
      </w:pPr>
      <w:r>
        <w:rPr>
          <w:rFonts w:ascii="Calibri" w:cs="Calibri" w:eastAsia="Calibri" w:hAnsi="Calibri"/>
          <w:b/>
          <w:bCs/>
          <w:color w:val="1F2937"/>
          <w:sz w:val="27"/>
          <w:szCs w:val="27"/>
        </w:rPr>
        <w:t xml:space="preserve">6.2 Beschränkungen</w:t>
      </w:r>
    </w:p>
    <w:p>
      <w:pPr>
        <w:spacing w:after="200" w:line="300"/>
      </w:pPr>
      <w:r>
        <w:rPr>
          <w:rFonts w:ascii="Calibri" w:cs="Calibri" w:eastAsia="Calibri" w:hAnsi="Calibri"/>
          <w:color w:val="1F2937"/>
          <w:sz w:val="22"/>
          <w:szCs w:val="22"/>
        </w:rPr>
        <w:t xml:space="preserve">Eine Beschränkung ist eine Bezeichnung (z. B. „Keine Gliederzüge“), die Sie einem Lieferstandort zuordnen können, zusammen mit den Trailer-Typen, die trotzdem dorthin dürfen. Beschränkungen lassen sich deaktivieren, ohne sie zu löschen, und ein Lieferstandort kann mehrere gleichzeitig tragen.</w:t>
      </w:r>
    </w:p>
    <w:p>
      <w:pPr>
        <w:pStyle w:val="Heading2"/>
        <w:spacing w:after="160" w:before="360"/>
      </w:pPr>
      <w:r>
        <w:rPr>
          <w:rFonts w:ascii="Calibri" w:cs="Calibri" w:eastAsia="Calibri" w:hAnsi="Calibri"/>
          <w:b/>
          <w:bCs/>
          <w:color w:val="1F2937"/>
          <w:sz w:val="27"/>
          <w:szCs w:val="27"/>
        </w:rPr>
        <w:t xml:space="preserve">6.3 Routenzuweisung</w:t>
      </w:r>
    </w:p>
    <w:p>
      <w:pPr>
        <w:spacing w:after="200" w:line="300"/>
      </w:pPr>
      <w:r>
        <w:rPr>
          <w:rFonts w:ascii="Calibri" w:cs="Calibri" w:eastAsia="Calibri" w:hAnsi="Calibri"/>
          <w:color w:val="1F2937"/>
          <w:sz w:val="22"/>
          <w:szCs w:val="22"/>
        </w:rPr>
        <w:t xml:space="preserve">Erstellen Sie eine Route für ein bestimmtes Datum und eine Routennummer, indem Sie Lieferstandorte der Reihe nach hinzufügen, Stopps mit den Pfeilen nach oben/unten umordnen und Stopps entfernen, die nicht dazugehören. Routennummern beginnen täglich wieder bei 001; mit New Route erhalten Sie automatisch die nächste freie Nummer für das gewählte Datum.</w:t>
      </w:r>
    </w:p>
    <w:p>
      <w:pPr>
        <w:spacing w:after="200" w:line="300"/>
      </w:pPr>
      <w:r>
        <w:rPr>
          <w:rFonts w:ascii="Calibri" w:cs="Calibri" w:eastAsia="Calibri" w:hAnsi="Calibri"/>
          <w:b/>
          <w:bCs/>
          <w:color w:val="1F2937"/>
          <w:sz w:val="22"/>
          <w:szCs w:val="22"/>
        </w:rPr>
        <w:t xml:space="preserve">Eine Route abschließen.</w:t>
      </w:r>
      <w:r>
        <w:rPr>
          <w:rFonts w:ascii="Calibri" w:cs="Calibri" w:eastAsia="Calibri" w:hAnsi="Calibri"/>
          <w:color w:val="1F2937"/>
          <w:sz w:val="22"/>
          <w:szCs w:val="22"/>
        </w:rPr>
        <w:t xml:space="preserve"> Markieren Sie eine Route als Completed, sobald sie gefahren wurde, oder öffnen Sie sie mit Reopen wieder, falls sie nachträglich geändert werden muss — Statusanzeige und Schaltflächen spiegeln den jeweils aktuellen Zustand.</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7. Loader</w:t>
      </w:r>
    </w:p>
    <w:p>
      <w:pPr>
        <w:spacing w:after="200" w:line="300"/>
      </w:pPr>
      <w:r>
        <w:rPr>
          <w:rFonts w:ascii="Calibri" w:cs="Calibri" w:eastAsia="Calibri" w:hAnsi="Calibri"/>
          <w:color w:val="1F2937"/>
          <w:sz w:val="22"/>
          <w:szCs w:val="22"/>
        </w:rPr>
        <w:t xml:space="preserve">Der Loader-Bildschirm zeigt die Stellplatzkarte des Standorts neben einem Bereich Available Trailers — ziehen Sie einen Trailer aus dem Bereich auf einen Stellplatz, um ihn zuzuweisen.</w:t>
      </w:r>
    </w:p>
    <w:p>
      <w:pPr>
        <w:pStyle w:val="Heading2"/>
        <w:spacing w:after="160" w:before="360"/>
      </w:pPr>
      <w:r>
        <w:rPr>
          <w:rFonts w:ascii="Calibri" w:cs="Calibri" w:eastAsia="Calibri" w:hAnsi="Calibri"/>
          <w:b/>
          <w:bCs/>
          <w:color w:val="1F2937"/>
          <w:sz w:val="27"/>
          <w:szCs w:val="27"/>
        </w:rPr>
        <w:t xml:space="preserve">7.1 Verfügbare Trailer</w:t>
      </w:r>
    </w:p>
    <w:p>
      <w:pPr>
        <w:spacing w:after="200" w:line="300"/>
      </w:pPr>
      <w:r>
        <w:rPr>
          <w:rFonts w:ascii="Calibri" w:cs="Calibri" w:eastAsia="Calibri" w:hAnsi="Calibri"/>
          <w:color w:val="1F2937"/>
          <w:sz w:val="22"/>
          <w:szCs w:val="22"/>
        </w:rPr>
        <w:t xml:space="preserve">Die Trailer sind in fester Reihenfolge gruppiert, sodass der häufigste Fall immer oben steht:</w:t>
      </w:r>
    </w:p>
    <w:p>
      <w:pPr>
        <w:pStyle w:val="ListParagraph"/>
        <w:numPr>
          <w:ilvl w:val="0"/>
          <w:numId w:val="8"/>
        </w:numPr>
        <w:spacing w:after="180" w:line="290"/>
      </w:pPr>
      <w:r>
        <w:rPr>
          <w:rFonts w:ascii="Calibri" w:cs="Calibri" w:eastAsia="Calibri" w:hAnsi="Calibri"/>
          <w:color w:val="1F2937"/>
          <w:sz w:val="22"/>
          <w:szCs w:val="22"/>
        </w:rPr>
        <w:t xml:space="preserve">Empty available — nichts zu bedenken, einfach beladen</w:t>
      </w:r>
    </w:p>
    <w:p>
      <w:pPr>
        <w:pStyle w:val="ListParagraph"/>
        <w:numPr>
          <w:ilvl w:val="0"/>
          <w:numId w:val="8"/>
        </w:numPr>
        <w:spacing w:after="180" w:line="290"/>
      </w:pPr>
      <w:r>
        <w:rPr>
          <w:rFonts w:ascii="Calibri" w:cs="Calibri" w:eastAsia="Calibri" w:hAnsi="Calibri"/>
          <w:color w:val="1F2937"/>
          <w:sz w:val="22"/>
          <w:szCs w:val="22"/>
        </w:rPr>
        <w:t xml:space="preserve">Dekit — braucht Dekit-Bearbeitung, bevor er beladen werden kann</w:t>
      </w:r>
    </w:p>
    <w:p>
      <w:pPr>
        <w:pStyle w:val="ListParagraph"/>
        <w:numPr>
          <w:ilvl w:val="0"/>
          <w:numId w:val="8"/>
        </w:numPr>
        <w:spacing w:after="180" w:line="290"/>
      </w:pPr>
      <w:r>
        <w:rPr>
          <w:rFonts w:ascii="Calibri" w:cs="Calibri" w:eastAsia="Calibri" w:hAnsi="Calibri"/>
          <w:color w:val="1F2937"/>
          <w:sz w:val="22"/>
          <w:szCs w:val="22"/>
        </w:rPr>
        <w:t xml:space="preserve">Return delivery — braucht die Aufmerksamkeit von Dekit, bevor er beladen werden kann</w:t>
      </w:r>
    </w:p>
    <w:p>
      <w:pPr>
        <w:pStyle w:val="ListParagraph"/>
        <w:numPr>
          <w:ilvl w:val="0"/>
          <w:numId w:val="8"/>
        </w:numPr>
        <w:spacing w:after="180" w:line="290"/>
      </w:pPr>
      <w:r>
        <w:rPr>
          <w:rFonts w:ascii="Calibri" w:cs="Calibri" w:eastAsia="Calibri" w:hAnsi="Calibri"/>
          <w:color w:val="1F2937"/>
          <w:sz w:val="22"/>
          <w:szCs w:val="22"/>
        </w:rPr>
        <w:t xml:space="preserve">Loaded returning — trägt noch eine echte, nicht ausgelieferte Ladung</w:t>
      </w:r>
    </w:p>
    <w:p>
      <w:pPr>
        <w:spacing w:after="200" w:line="300"/>
      </w:pPr>
      <w:r>
        <w:rPr>
          <w:rFonts w:ascii="Calibri" w:cs="Calibri" w:eastAsia="Calibri" w:hAnsi="Calibri"/>
          <w:color w:val="1F2937"/>
          <w:sz w:val="22"/>
          <w:szCs w:val="22"/>
        </w:rPr>
        <w:t xml:space="preserve">Jede Karte zeigt die Trailer-Nummer, den Typ und — wo relevant — eine zweite Zeile, die angibt, was er geladen hat:</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Kennzeichen</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Bedeutung</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Braucht Dekit-Bearbeitung — darf nur einem Dekit-Stellplatz zugewiesen werden</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Returns</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Hat Shop-Rückware an Bord — darf nur einem Dekit-Stellplatz zugewiesen werden</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Frozen / Chill / Ambient / Xdock</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Trägt noch diese Kategorie nicht ausgelieferter Ware</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Mixed</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Trägt mehr als eine der Kategorien Frozen/Chill/Ambient/Xdock gleichzeitig</w:t>
            </w:r>
          </w:p>
        </w:tc>
      </w:tr>
    </w:tbl>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Dekit- und Returns-Trailer  </w:t>
      </w:r>
      <w:r>
        <w:rPr>
          <w:rFonts w:ascii="Calibri" w:cs="Calibri" w:eastAsia="Calibri" w:hAnsi="Calibri"/>
          <w:color w:val="4B5563"/>
          <w:sz w:val="22"/>
          <w:szCs w:val="22"/>
        </w:rPr>
        <w:t xml:space="preserve"> dürfen nur auf einen Stellplatz im Dekit-Bereich gezogen werden — das System lehnt das Ablegen auf jedem anderen Stellplatz ab, wer es auch versucht.</w:t>
      </w:r>
    </w:p>
    <w:p>
      <w:pPr>
        <w:pStyle w:val="Heading2"/>
        <w:spacing w:after="160" w:before="360"/>
      </w:pPr>
      <w:r>
        <w:rPr>
          <w:rFonts w:ascii="Calibri" w:cs="Calibri" w:eastAsia="Calibri" w:hAnsi="Calibri"/>
          <w:b/>
          <w:bCs/>
          <w:color w:val="1F2937"/>
          <w:sz w:val="27"/>
          <w:szCs w:val="27"/>
        </w:rPr>
        <w:t xml:space="preserve">7.2 Einen Trailer zuweisen</w:t>
      </w:r>
    </w:p>
    <w:p>
      <w:pPr>
        <w:spacing w:after="200" w:line="300"/>
      </w:pPr>
      <w:r>
        <w:rPr>
          <w:rFonts w:ascii="Calibri" w:cs="Calibri" w:eastAsia="Calibri" w:hAnsi="Calibri"/>
          <w:color w:val="1F2937"/>
          <w:sz w:val="22"/>
          <w:szCs w:val="22"/>
        </w:rPr>
        <w:t xml:space="preserve">Ziehen Sie eine Trailer-Karte auf einen Stellplatz. Was dann passiert, hängt davon ab, was der Trailer geladen hat:</w:t>
      </w:r>
    </w:p>
    <w:p>
      <w:pPr>
        <w:pStyle w:val="ListParagraph"/>
        <w:numPr>
          <w:ilvl w:val="0"/>
          <w:numId w:val="9"/>
        </w:numPr>
        <w:spacing w:after="180" w:line="290"/>
      </w:pPr>
      <w:r>
        <w:rPr>
          <w:rFonts w:ascii="Calibri" w:cs="Calibri" w:eastAsia="Calibri" w:hAnsi="Calibri"/>
          <w:color w:val="1F2937"/>
          <w:sz w:val="22"/>
          <w:szCs w:val="22"/>
        </w:rPr>
        <w:t xml:space="preserve">Ein einfacher, leerer Trailer — Sie werden nach der Routennummer für diese Ladung gefragt (oder lassen das Feld leer, um den Trailer vorerst ohne Route zu platzieren).</w:t>
      </w:r>
    </w:p>
    <w:p>
      <w:pPr>
        <w:pStyle w:val="ListParagraph"/>
        <w:numPr>
          <w:ilvl w:val="0"/>
          <w:numId w:val="9"/>
        </w:numPr>
        <w:spacing w:after="180" w:line="290"/>
      </w:pPr>
      <w:r>
        <w:rPr>
          <w:rFonts w:ascii="Calibri" w:cs="Calibri" w:eastAsia="Calibri" w:hAnsi="Calibri"/>
          <w:color w:val="1F2937"/>
          <w:sz w:val="22"/>
          <w:szCs w:val="22"/>
        </w:rPr>
        <w:t xml:space="preserve">Ein Frozen-/Chill-/Ambient-/Xdock-Trailer (oder Mixed) — zuerst werden Sie gefragt „Reload it now?“. Antworten Sie Yes, um wie gewohnt eine Routennummer zu vergeben; antworten Sie No, um den Trailer einfach ohne Route auf den Stellplatz zu setzen, damit er zuerst entladen wird.</w:t>
      </w:r>
    </w:p>
    <w:p>
      <w:pPr>
        <w:pStyle w:val="ListParagraph"/>
        <w:numPr>
          <w:ilvl w:val="0"/>
          <w:numId w:val="9"/>
        </w:numPr>
        <w:spacing w:after="180" w:line="290"/>
      </w:pPr>
      <w:r>
        <w:rPr>
          <w:rFonts w:ascii="Calibri" w:cs="Calibri" w:eastAsia="Calibri" w:hAnsi="Calibri"/>
          <w:color w:val="1F2937"/>
          <w:sz w:val="22"/>
          <w:szCs w:val="22"/>
        </w:rPr>
        <w:t xml:space="preserve">Ein Dekit- oder Returns-Trailer, auf einen Dekit-Stellplatz gezogen — es wird gar keine Routennummer abgefragt; er wird einfach dort platziert, damit Dekit ihn bearbeitet.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Nur Loader  </w:t>
      </w:r>
      <w:r>
        <w:rPr>
          <w:rFonts w:ascii="Calibri" w:cs="Calibri" w:eastAsia="Calibri" w:hAnsi="Calibri"/>
          <w:color w:val="4B5563"/>
          <w:sz w:val="22"/>
          <w:szCs w:val="22"/>
        </w:rPr>
        <w:t xml:space="preserve"> kann einem Trailer, der noch Frozen-/Chill-/Ambient-/Xdock-Ware trägt, einen Stellplatz zuweisen — Dekit und Shunter können das bewusst nicht ausführen.</w:t>
      </w:r>
    </w:p>
    <w:p>
      <w:pPr>
        <w:pStyle w:val="Heading2"/>
        <w:spacing w:after="160" w:before="360"/>
      </w:pPr>
      <w:r>
        <w:rPr>
          <w:rFonts w:ascii="Calibri" w:cs="Calibri" w:eastAsia="Calibri" w:hAnsi="Calibri"/>
          <w:b/>
          <w:bCs/>
          <w:color w:val="1F2937"/>
          <w:sz w:val="27"/>
          <w:szCs w:val="27"/>
        </w:rPr>
        <w:t xml:space="preserve">7.3 Sobald ein Trailer auf einem Stellplatz steht</w:t>
      </w:r>
    </w:p>
    <w:p>
      <w:pPr>
        <w:spacing w:after="200" w:line="300"/>
      </w:pPr>
      <w:r>
        <w:rPr>
          <w:rFonts w:ascii="Calibri" w:cs="Calibri" w:eastAsia="Calibri" w:hAnsi="Calibri"/>
          <w:color w:val="1F2937"/>
          <w:sz w:val="22"/>
          <w:szCs w:val="22"/>
        </w:rPr>
        <w:t xml:space="preserve">Ein Trailer auf einem normalen Ladestellplatz zeigt zwei Schaltflächen: Complete (wenn die Beladung beendet ist) und Move To (einen Shunter bitten, ihn anderswohin zu bringen).</w:t>
      </w:r>
    </w:p>
    <w:p>
      <w:pPr>
        <w:spacing w:after="200" w:line="300"/>
      </w:pPr>
      <w:r>
        <w:rPr>
          <w:rFonts w:ascii="Calibri" w:cs="Calibri" w:eastAsia="Calibri" w:hAnsi="Calibri"/>
          <w:color w:val="1F2937"/>
          <w:sz w:val="22"/>
          <w:szCs w:val="22"/>
        </w:rPr>
        <w:t xml:space="preserve">Ein Trailer, den Dekit gerade fertig geleert hat — noch auf seinem Dekit-Stellplatz — zeigt statt Complete die Schaltflächen Move To und Park up, da es nichts zu „vervollständigen“ gibt, bis er tatsächlich neu beladen wird:</w:t>
      </w:r>
    </w:p>
    <w:p>
      <w:pPr>
        <w:pStyle w:val="ListParagraph"/>
        <w:numPr>
          <w:ilvl w:val="0"/>
          <w:numId w:val="6"/>
        </w:numPr>
        <w:spacing w:after="120" w:line="290"/>
      </w:pPr>
      <w:r>
        <w:rPr>
          <w:rFonts w:ascii="Calibri" w:cs="Calibri" w:eastAsia="Calibri" w:hAnsi="Calibri"/>
          <w:b/>
          <w:bCs/>
          <w:color w:val="1F2937"/>
          <w:sz w:val="22"/>
          <w:szCs w:val="22"/>
        </w:rPr>
        <w:t xml:space="preserve">Move To —</w:t>
      </w:r>
      <w:r>
        <w:rPr>
          <w:rFonts w:ascii="Calibri" w:cs="Calibri" w:eastAsia="Calibri" w:hAnsi="Calibri"/>
          <w:color w:val="1F2937"/>
          <w:sz w:val="22"/>
          <w:szCs w:val="22"/>
        </w:rPr>
        <w:t xml:space="preserve"> nutzt die normale Bewegungsanforderung — wählen Sie einen Zielstellplatz, und ein Shunter führt sie aus.</w:t>
      </w:r>
    </w:p>
    <w:p>
      <w:pPr>
        <w:pStyle w:val="ListParagraph"/>
        <w:numPr>
          <w:ilvl w:val="0"/>
          <w:numId w:val="6"/>
        </w:numPr>
        <w:spacing w:after="120" w:line="290"/>
      </w:pPr>
      <w:r>
        <w:rPr>
          <w:rFonts w:ascii="Calibri" w:cs="Calibri" w:eastAsia="Calibri" w:hAnsi="Calibri"/>
          <w:b/>
          <w:bCs/>
          <w:color w:val="1F2937"/>
          <w:sz w:val="22"/>
          <w:szCs w:val="22"/>
        </w:rPr>
        <w:t xml:space="preserve">Park up —</w:t>
      </w:r>
      <w:r>
        <w:rPr>
          <w:rFonts w:ascii="Calibri" w:cs="Calibri" w:eastAsia="Calibri" w:hAnsi="Calibri"/>
          <w:color w:val="1F2937"/>
          <w:sz w:val="22"/>
          <w:szCs w:val="22"/>
        </w:rPr>
        <w:t xml:space="preserve"> bittet einen Shunter, den Trailer einfach vom Stellplatz zu nehmen und inaktiv und verfügbar abzustellen, ohne einen bestimmten Zielstellplatz.</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8. Dekit</w:t>
      </w:r>
    </w:p>
    <w:p>
      <w:pPr>
        <w:spacing w:after="200" w:line="300"/>
      </w:pPr>
      <w:r>
        <w:rPr>
          <w:rFonts w:ascii="Calibri" w:cs="Calibri" w:eastAsia="Calibri" w:hAnsi="Calibri"/>
          <w:color w:val="1F2937"/>
          <w:sz w:val="22"/>
          <w:szCs w:val="22"/>
        </w:rPr>
        <w:t xml:space="preserve">Dekit leert Trailer, die von einer Route mit alter Verpackung (Dekit) oder unverkaufter Shop-Rückware (Return delivery) zurückkamen, damit sie wieder in den allgemeinen Gebrauch gehen können.</w:t>
      </w:r>
    </w:p>
    <w:p>
      <w:pPr>
        <w:pStyle w:val="Heading2"/>
        <w:spacing w:after="160" w:before="360"/>
      </w:pPr>
      <w:r>
        <w:rPr>
          <w:rFonts w:ascii="Calibri" w:cs="Calibri" w:eastAsia="Calibri" w:hAnsi="Calibri"/>
          <w:b/>
          <w:bCs/>
          <w:color w:val="1F2937"/>
          <w:sz w:val="27"/>
          <w:szCs w:val="27"/>
        </w:rPr>
        <w:t xml:space="preserve">8.1 Verfügbare Trailer</w:t>
      </w:r>
    </w:p>
    <w:p>
      <w:pPr>
        <w:spacing w:after="200" w:line="300"/>
      </w:pPr>
      <w:r>
        <w:rPr>
          <w:rFonts w:ascii="Calibri" w:cs="Calibri" w:eastAsia="Calibri" w:hAnsi="Calibri"/>
          <w:color w:val="1F2937"/>
          <w:sz w:val="22"/>
          <w:szCs w:val="22"/>
        </w:rPr>
        <w:t xml:space="preserve">Die eigene Liste von Dekit zeigt nur, was tatsächlich Dekits Aufgabe ist, in dieser Reihenfolge:</w:t>
      </w:r>
    </w:p>
    <w:p>
      <w:pPr>
        <w:pStyle w:val="ListParagraph"/>
        <w:numPr>
          <w:ilvl w:val="0"/>
          <w:numId w:val="10"/>
        </w:numPr>
        <w:spacing w:after="180" w:line="290"/>
      </w:pPr>
      <w:r>
        <w:rPr>
          <w:rFonts w:ascii="Calibri" w:cs="Calibri" w:eastAsia="Calibri" w:hAnsi="Calibri"/>
          <w:color w:val="1F2937"/>
          <w:sz w:val="22"/>
          <w:szCs w:val="22"/>
        </w:rPr>
        <w:t xml:space="preserve">Dekit</w:t>
      </w:r>
    </w:p>
    <w:p>
      <w:pPr>
        <w:pStyle w:val="ListParagraph"/>
        <w:numPr>
          <w:ilvl w:val="0"/>
          <w:numId w:val="10"/>
        </w:numPr>
        <w:spacing w:after="180" w:line="290"/>
      </w:pPr>
      <w:r>
        <w:rPr>
          <w:rFonts w:ascii="Calibri" w:cs="Calibri" w:eastAsia="Calibri" w:hAnsi="Calibri"/>
          <w:color w:val="1F2937"/>
          <w:sz w:val="22"/>
          <w:szCs w:val="22"/>
        </w:rPr>
        <w:t xml:space="preserve">Return delivery</w:t>
      </w:r>
    </w:p>
    <w:p>
      <w:pPr>
        <w:pStyle w:val="ListParagraph"/>
        <w:numPr>
          <w:ilvl w:val="0"/>
          <w:numId w:val="10"/>
        </w:numPr>
        <w:spacing w:after="180" w:line="290"/>
      </w:pPr>
      <w:r>
        <w:rPr>
          <w:rFonts w:ascii="Calibri" w:cs="Calibri" w:eastAsia="Calibri" w:hAnsi="Calibri"/>
          <w:color w:val="1F2937"/>
          <w:sz w:val="22"/>
          <w:szCs w:val="22"/>
        </w:rPr>
        <w:t xml:space="preserve">Empty</w:t>
      </w:r>
    </w:p>
    <w:p>
      <w:pPr>
        <w:spacing w:after="200" w:line="300"/>
      </w:pPr>
      <w:r>
        <w:rPr>
          <w:rFonts w:ascii="Calibri" w:cs="Calibri" w:eastAsia="Calibri" w:hAnsi="Calibri"/>
          <w:color w:val="1F2937"/>
          <w:sz w:val="22"/>
          <w:szCs w:val="22"/>
        </w:rPr>
        <w:t xml:space="preserve">Auch leere Trailer erscheinen hier — nicht weil sie Dekit-Bearbeitung brauchen, sondern damit Dekit einen mit Verpackung oder Paletten für einen anderen Standort beladen kann, über dieselben Stellplätze. Trailer, die noch eine echte, nicht ausgelieferte Ladung (Frozen/Chill/Ambient/Xdock) tragen, erscheinen nie auf diesem Bildschirm — das ist Aufgabe von Loader (Kapitel 7).</w:t>
      </w:r>
    </w:p>
    <w:p>
      <w:pPr>
        <w:pStyle w:val="Heading2"/>
        <w:spacing w:after="160" w:before="360"/>
      </w:pPr>
      <w:r>
        <w:rPr>
          <w:rFonts w:ascii="Calibri" w:cs="Calibri" w:eastAsia="Calibri" w:hAnsi="Calibri"/>
          <w:b/>
          <w:bCs/>
          <w:color w:val="1F2937"/>
          <w:sz w:val="27"/>
          <w:szCs w:val="27"/>
        </w:rPr>
        <w:t xml:space="preserve">8.2 Einen Trailer bearbeiten</w:t>
      </w:r>
    </w:p>
    <w:p>
      <w:pPr>
        <w:spacing w:after="200" w:line="300"/>
      </w:pPr>
      <w:r>
        <w:rPr>
          <w:rFonts w:ascii="Calibri" w:cs="Calibri" w:eastAsia="Calibri" w:hAnsi="Calibri"/>
          <w:color w:val="1F2937"/>
          <w:sz w:val="22"/>
          <w:szCs w:val="22"/>
        </w:rPr>
        <w:t xml:space="preserve">Ziehen Sie einen Trailer auf einen Dekit-Stellplatz, so wie Loader einen Ladestellplatz zuweist. Klicken Sie auf Complete, sobald er physisch geleert ist — das entfernt sein Ladungskennzeichen, lässt ihn aber am Stellplatz. Danach entscheidet Loader, was mit ihm geschieht: vor Ort wiederverwenden (Move To) oder von einem Shunter inaktiv und verfügbar abstellen lassen (siehe 7.3).</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9. Shunter</w:t>
      </w:r>
    </w:p>
    <w:p>
      <w:pPr>
        <w:spacing w:after="200" w:line="300"/>
      </w:pPr>
      <w:r>
        <w:rPr>
          <w:rFonts w:ascii="Calibri" w:cs="Calibri" w:eastAsia="Calibri" w:hAnsi="Calibri"/>
          <w:color w:val="1F2937"/>
          <w:sz w:val="22"/>
          <w:szCs w:val="22"/>
        </w:rPr>
        <w:t xml:space="preserve">Shunter läuft auf einem Tablet in der Kabine des Rangierfahrzeugs und zeigt die Live-Depotkarte Ihres Standorts.</w:t>
      </w:r>
    </w:p>
    <w:p>
      <w:pPr>
        <w:pStyle w:val="Heading2"/>
        <w:spacing w:after="160" w:before="360"/>
      </w:pPr>
      <w:r>
        <w:rPr>
          <w:rFonts w:ascii="Calibri" w:cs="Calibri" w:eastAsia="Calibri" w:hAnsi="Calibri"/>
          <w:b/>
          <w:bCs/>
          <w:color w:val="1F2937"/>
          <w:sz w:val="27"/>
          <w:szCs w:val="27"/>
        </w:rPr>
        <w:t xml:space="preserve">9.1 Einen Trailer andocken</w:t>
      </w:r>
    </w:p>
    <w:p>
      <w:pPr>
        <w:spacing w:after="200" w:line="300"/>
      </w:pPr>
      <w:r>
        <w:rPr>
          <w:rFonts w:ascii="Calibri" w:cs="Calibri" w:eastAsia="Calibri" w:hAnsi="Calibri"/>
          <w:color w:val="1F2937"/>
          <w:sz w:val="22"/>
          <w:szCs w:val="22"/>
        </w:rPr>
        <w:t xml:space="preserve">Wurde einem Stellplatz ein Trailer zugewiesen (durch Loader, Dekit oder automatisch per Zuweisung), zeigt seine Kachel Docked — tippen Sie darauf, sobald Sie den Trailer tatsächlich an diesem Stellplatz abgestellt haben, um es zu bestätigen.</w:t>
      </w:r>
    </w:p>
    <w:p>
      <w:pPr>
        <w:pStyle w:val="Heading2"/>
        <w:spacing w:after="160" w:before="360"/>
      </w:pPr>
      <w:r>
        <w:rPr>
          <w:rFonts w:ascii="Calibri" w:cs="Calibri" w:eastAsia="Calibri" w:hAnsi="Calibri"/>
          <w:b/>
          <w:bCs/>
          <w:color w:val="1F2937"/>
          <w:sz w:val="27"/>
          <w:szCs w:val="27"/>
        </w:rPr>
        <w:t xml:space="preserve">9.2 Zum Versand abholen</w:t>
      </w:r>
    </w:p>
    <w:p>
      <w:pPr>
        <w:spacing w:after="200" w:line="300"/>
      </w:pPr>
      <w:r>
        <w:rPr>
          <w:rFonts w:ascii="Calibri" w:cs="Calibri" w:eastAsia="Calibri" w:hAnsi="Calibri"/>
          <w:color w:val="1F2937"/>
          <w:sz w:val="22"/>
          <w:szCs w:val="22"/>
        </w:rPr>
        <w:t xml:space="preserve">Sobald ein Trailer Loaded ist und ihm ein Fahrer zugewiesen wurde (siehe Kapitel 10), bietet seine Kachel Collect for dispatch — tippen Sie darauf, sobald Sie ihn angekuppelt haben und Richtung Pforte fahren.</w:t>
      </w:r>
    </w:p>
    <w:p>
      <w:pPr>
        <w:pStyle w:val="Heading2"/>
        <w:spacing w:after="160" w:before="360"/>
      </w:pPr>
      <w:r>
        <w:rPr>
          <w:rFonts w:ascii="Calibri" w:cs="Calibri" w:eastAsia="Calibri" w:hAnsi="Calibri"/>
          <w:b/>
          <w:bCs/>
          <w:color w:val="1F2937"/>
          <w:sz w:val="27"/>
          <w:szCs w:val="27"/>
        </w:rPr>
        <w:t xml:space="preserve">9.3 Pending Moves</w:t>
      </w:r>
    </w:p>
    <w:p>
      <w:pPr>
        <w:spacing w:after="200" w:line="300"/>
      </w:pPr>
      <w:r>
        <w:rPr>
          <w:rFonts w:ascii="Calibri" w:cs="Calibri" w:eastAsia="Calibri" w:hAnsi="Calibri"/>
          <w:color w:val="1F2937"/>
          <w:sz w:val="22"/>
          <w:szCs w:val="22"/>
        </w:rPr>
        <w:t xml:space="preserve">Jede Move-To- oder Park-up-Anforderung von Loader oder Dekit erscheint in der Tabelle Pending Moves unter der Karte, mit Trailer, Ausgangsstellplatz und Ziel — oder „Park up (leave idle/available)“, falls es gar keinen Zielstellplatz gibt. Schließen Sie sie mit Complete ab, sobald Sie die Bewegung tatsächlich ausgeführt haben, oder brechen Sie sie mit Cancel ab, wenn sie nicht mehr nötig ist.</w:t>
      </w:r>
    </w:p>
    <w:p>
      <w:pPr>
        <w:pStyle w:val="Heading2"/>
        <w:spacing w:after="160" w:before="360"/>
      </w:pPr>
      <w:r>
        <w:rPr>
          <w:rFonts w:ascii="Calibri" w:cs="Calibri" w:eastAsia="Calibri" w:hAnsi="Calibri"/>
          <w:b/>
          <w:bCs/>
          <w:color w:val="1F2937"/>
          <w:sz w:val="27"/>
          <w:szCs w:val="27"/>
        </w:rPr>
        <w:t xml:space="preserve">9.4 Eine Dekit-Zuweisung abbrechen</w:t>
      </w:r>
    </w:p>
    <w:p>
      <w:pPr>
        <w:spacing w:after="200" w:line="300"/>
      </w:pPr>
      <w:r>
        <w:rPr>
          <w:rFonts w:ascii="Calibri" w:cs="Calibri" w:eastAsia="Calibri" w:hAnsi="Calibri"/>
          <w:color w:val="1F2937"/>
          <w:sz w:val="22"/>
          <w:szCs w:val="22"/>
        </w:rPr>
        <w:t xml:space="preserve">Ein Trailer, der einem Dekit-Stellplatz zugewiesen, aber noch nicht angedockt (Docked) ist, kann direkt über seine Kachel abgebrochen werden, wodurch der Stellplatz wieder frei wird.</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10. Dispatch</w:t>
      </w:r>
    </w:p>
    <w:p>
      <w:pPr>
        <w:spacing w:after="200" w:line="300"/>
      </w:pPr>
      <w:r>
        <w:rPr>
          <w:rFonts w:ascii="Calibri" w:cs="Calibri" w:eastAsia="Calibri" w:hAnsi="Calibri"/>
          <w:color w:val="1F2937"/>
          <w:sz w:val="22"/>
          <w:szCs w:val="22"/>
        </w:rPr>
        <w:t xml:space="preserve">Dispatch weist einer Route Fahrer und Lkw zu, sobald die Beladung abgeschlossen ist.</w:t>
      </w:r>
    </w:p>
    <w:p>
      <w:pPr>
        <w:pStyle w:val="Heading2"/>
        <w:spacing w:after="160" w:before="360"/>
      </w:pPr>
      <w:r>
        <w:rPr>
          <w:rFonts w:ascii="Calibri" w:cs="Calibri" w:eastAsia="Calibri" w:hAnsi="Calibri"/>
          <w:b/>
          <w:bCs/>
          <w:color w:val="1F2937"/>
          <w:sz w:val="27"/>
          <w:szCs w:val="27"/>
        </w:rPr>
        <w:t xml:space="preserve">10.1 Fahrer und Lkw zuweisen</w:t>
      </w:r>
    </w:p>
    <w:p>
      <w:pPr>
        <w:spacing w:after="200" w:line="300"/>
      </w:pPr>
      <w:r>
        <w:rPr>
          <w:rFonts w:ascii="Calibri" w:cs="Calibri" w:eastAsia="Calibri" w:hAnsi="Calibri"/>
          <w:color w:val="1F2937"/>
          <w:sz w:val="22"/>
          <w:szCs w:val="22"/>
        </w:rPr>
        <w:t xml:space="preserve">Ein Lkw kann allein und vorab zugewiesen werden, wenn Sie schon wissen, welcher die Route fährt. Ein Fahrer dagegen kann nie ohne Lkw zugewiesen werden — hat der Trailer noch keinen, müssen Sie gleichzeitig mit dem Namen des Fahrers einen Lkw wählen. Das ist Absicht: Die Pfortenmaske von Security weigert sich, einen Trailer mit Fahrer, aber ohne Lkw auszubuchen, und so fällt das nicht erst an der Pforte, sondern schon am Schreibtisch auf.</w:t>
      </w:r>
    </w:p>
    <w:p>
      <w:pPr>
        <w:pStyle w:val="Heading2"/>
        <w:spacing w:after="160" w:before="360"/>
      </w:pPr>
      <w:r>
        <w:rPr>
          <w:rFonts w:ascii="Calibri" w:cs="Calibri" w:eastAsia="Calibri" w:hAnsi="Calibri"/>
          <w:b/>
          <w:bCs/>
          <w:color w:val="1F2937"/>
          <w:sz w:val="27"/>
          <w:szCs w:val="27"/>
        </w:rPr>
        <w:t xml:space="preserve">10.2 Fahrer zugewiesen — letzte 24 Stunden</w:t>
      </w:r>
    </w:p>
    <w:p>
      <w:pPr>
        <w:spacing w:after="200" w:line="300"/>
      </w:pPr>
      <w:r>
        <w:rPr>
          <w:rFonts w:ascii="Calibri" w:cs="Calibri" w:eastAsia="Calibri" w:hAnsi="Calibri"/>
          <w:color w:val="1F2937"/>
          <w:sz w:val="22"/>
          <w:szCs w:val="22"/>
        </w:rPr>
        <w:t xml:space="preserve">Unter der Zuweisungsliste liegt ein gleitendes 24-Stunden-Fenster der letzten Zuweisungen — Trailer, Route, Fahrer, Lkw und Zuweisungszeit —, damit Sie sehen, was Dispatch zuletzt getan hat, ohne dass die Liste unbegrenzt wächst.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11. Security</w:t>
      </w:r>
    </w:p>
    <w:p>
      <w:pPr>
        <w:spacing w:after="200" w:line="300"/>
      </w:pPr>
      <w:r>
        <w:rPr>
          <w:rFonts w:ascii="Calibri" w:cs="Calibri" w:eastAsia="Calibri" w:hAnsi="Calibri"/>
          <w:color w:val="1F2937"/>
          <w:sz w:val="22"/>
          <w:szCs w:val="22"/>
        </w:rPr>
        <w:t xml:space="preserve">Security bucht jeden Trailer in beide Richtungen durch die Pforte, vom Desktop im Pförtnerhaus aus.</w:t>
      </w:r>
    </w:p>
    <w:p>
      <w:pPr>
        <w:pStyle w:val="Heading2"/>
        <w:spacing w:after="160" w:before="360"/>
      </w:pPr>
      <w:r>
        <w:rPr>
          <w:rFonts w:ascii="Calibri" w:cs="Calibri" w:eastAsia="Calibri" w:hAnsi="Calibri"/>
          <w:b/>
          <w:bCs/>
          <w:color w:val="1F2937"/>
          <w:sz w:val="27"/>
          <w:szCs w:val="27"/>
        </w:rPr>
        <w:t xml:space="preserve">11.1 Ausgang</w:t>
      </w:r>
    </w:p>
    <w:p>
      <w:pPr>
        <w:spacing w:after="200" w:line="300"/>
      </w:pPr>
      <w:r>
        <w:rPr>
          <w:rFonts w:ascii="Calibri" w:cs="Calibri" w:eastAsia="Calibri" w:hAnsi="Calibri"/>
          <w:color w:val="1F2937"/>
          <w:sz w:val="22"/>
          <w:szCs w:val="22"/>
        </w:rPr>
        <w:t xml:space="preserve">Wählen Sie eine abgeschlossene, zugewiesene Ladung aus der Liste „Ready for dispatch“ — das zeigt Ihnen automatisch Trailer, Fahrer und Lkw dieser Ladung, damit Sie vor dem Ausbuchen per Augenschein prüfen können, ob es die richtige ist. Das Feld Trailer Number wird aus Ihrer Auswahl gefüllt, bleibt aber voll bearbeitbar, falls Sie es korrigieren müssen.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Security kann einen Trailer nicht ausbuchen,  </w:t>
      </w:r>
      <w:r>
        <w:rPr>
          <w:rFonts w:ascii="Calibri" w:cs="Calibri" w:eastAsia="Calibri" w:hAnsi="Calibri"/>
          <w:color w:val="4B5563"/>
          <w:sz w:val="22"/>
          <w:szCs w:val="22"/>
        </w:rPr>
        <w:t xml:space="preserve"> dem ein Fahrer, aber kein Lkw zugewiesen ist — das muss zuerst Dispatch beheben.</w:t>
      </w:r>
    </w:p>
    <w:p>
      <w:pPr>
        <w:pStyle w:val="Heading2"/>
        <w:spacing w:after="160" w:before="360"/>
      </w:pPr>
      <w:r>
        <w:rPr>
          <w:rFonts w:ascii="Calibri" w:cs="Calibri" w:eastAsia="Calibri" w:hAnsi="Calibri"/>
          <w:b/>
          <w:bCs/>
          <w:color w:val="1F2937"/>
          <w:sz w:val="27"/>
          <w:szCs w:val="27"/>
        </w:rPr>
        <w:t xml:space="preserve">11.2 Eingang</w:t>
      </w:r>
    </w:p>
    <w:p>
      <w:pPr>
        <w:spacing w:after="200" w:line="300"/>
      </w:pPr>
      <w:r>
        <w:rPr>
          <w:rFonts w:ascii="Calibri" w:cs="Calibri" w:eastAsia="Calibri" w:hAnsi="Calibri"/>
          <w:color w:val="1F2937"/>
          <w:sz w:val="22"/>
          <w:szCs w:val="22"/>
        </w:rPr>
        <w:t xml:space="preserve">Wählen Sie aus der Liste „Expected back“ oder tippen Sie die Trailer-Nummer direkt ein, falls ein Fahrer unterwegs den Trailer getauscht hat und der tatsächlich angekommene nicht dem Erwarteten entspricht — das Feld ist nie an die Liste gebunden.</w:t>
      </w:r>
    </w:p>
    <w:p>
      <w:pPr>
        <w:spacing w:after="200" w:line="300"/>
      </w:pPr>
      <w:r>
        <w:rPr>
          <w:rFonts w:ascii="Calibri" w:cs="Calibri" w:eastAsia="Calibri" w:hAnsi="Calibri"/>
          <w:color w:val="1F2937"/>
          <w:sz w:val="22"/>
          <w:szCs w:val="22"/>
        </w:rPr>
        <w:t xml:space="preserve">Haken Sie die Ladungstypen an, die beschreiben, was auf dem Trailer zurückkommt (Dekit, Shop return, Frozen, Chill, Ambient, Xdock oder Empty) — das leitet ihn auf den Bildschirm von Dekit, von Loader oder direkt zurück in den allgemeinen Gebrauch.</w:t>
      </w:r>
    </w:p>
    <w:p>
      <w:pPr>
        <w:pStyle w:val="Heading2"/>
        <w:spacing w:after="160" w:before="360"/>
      </w:pPr>
      <w:r>
        <w:rPr>
          <w:rFonts w:ascii="Calibri" w:cs="Calibri" w:eastAsia="Calibri" w:hAnsi="Calibri"/>
          <w:b/>
          <w:bCs/>
          <w:color w:val="1F2937"/>
          <w:sz w:val="27"/>
          <w:szCs w:val="27"/>
        </w:rPr>
        <w:t xml:space="preserve">11.3 Spediteur</w:t>
      </w:r>
    </w:p>
    <w:p>
      <w:pPr>
        <w:spacing w:after="200" w:line="300"/>
      </w:pPr>
      <w:r>
        <w:rPr>
          <w:rFonts w:ascii="Calibri" w:cs="Calibri" w:eastAsia="Calibri" w:hAnsi="Calibri"/>
          <w:color w:val="1F2937"/>
          <w:sz w:val="22"/>
          <w:szCs w:val="22"/>
        </w:rPr>
        <w:t xml:space="preserve">Das Feld Haulier wird in beiden Richtungen aus dem Default Haulier des Standorts (von Admin gesetzt — siehe 5.2) vorbefüllt, ist aber immer ein einfaches Textfeld, das Sie für eine bestimmte Ladung überschreiben können.</w:t>
      </w:r>
    </w:p>
    <w:p>
      <w:pPr>
        <w:pStyle w:val="Heading2"/>
        <w:spacing w:after="160" w:before="360"/>
      </w:pPr>
      <w:r>
        <w:rPr>
          <w:rFonts w:ascii="Calibri" w:cs="Calibri" w:eastAsia="Calibri" w:hAnsi="Calibri"/>
          <w:b/>
          <w:bCs/>
          <w:color w:val="1F2937"/>
          <w:sz w:val="27"/>
          <w:szCs w:val="27"/>
        </w:rPr>
        <w:t xml:space="preserve">11.4 Pfortenverlauf</w:t>
      </w:r>
    </w:p>
    <w:p>
      <w:pPr>
        <w:spacing w:after="200" w:line="300"/>
      </w:pPr>
      <w:r>
        <w:rPr>
          <w:rFonts w:ascii="Calibri" w:cs="Calibri" w:eastAsia="Calibri" w:hAnsi="Calibri"/>
          <w:color w:val="1F2937"/>
          <w:sz w:val="22"/>
          <w:szCs w:val="22"/>
        </w:rPr>
        <w:t xml:space="preserve">Ein fortlaufendes Protokoll jedes Pfortenereignisses an Ihrem Standort, das neueste zuerst, zum Nachschlagen, falls später eine Rückfrage kommt.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12. Fleet</w:t>
      </w:r>
    </w:p>
    <w:p>
      <w:pPr>
        <w:spacing w:after="200" w:line="300"/>
      </w:pPr>
      <w:r>
        <w:rPr>
          <w:rFonts w:ascii="Calibri" w:cs="Calibri" w:eastAsia="Calibri" w:hAnsi="Calibri"/>
          <w:color w:val="1F2937"/>
          <w:sz w:val="22"/>
          <w:szCs w:val="22"/>
        </w:rPr>
        <w:t xml:space="preserve">Fleet pflegt den Pool aus Lkw und Trailern, die über alle Standorte hinweg verfügbar sind — anders als die meisten Rollen ist die Ansicht von Fleet nicht auf einen Standort beschränkt.</w:t>
      </w:r>
    </w:p>
    <w:p>
      <w:pPr>
        <w:pStyle w:val="Heading2"/>
        <w:spacing w:after="160" w:before="360"/>
      </w:pPr>
      <w:r>
        <w:rPr>
          <w:rFonts w:ascii="Calibri" w:cs="Calibri" w:eastAsia="Calibri" w:hAnsi="Calibri"/>
          <w:b/>
          <w:bCs/>
          <w:color w:val="1F2937"/>
          <w:sz w:val="27"/>
          <w:szCs w:val="27"/>
        </w:rPr>
        <w:t xml:space="preserve">12.1 Trailer</w:t>
      </w:r>
    </w:p>
    <w:p>
      <w:pPr>
        <w:spacing w:after="200" w:line="300"/>
      </w:pPr>
      <w:r>
        <w:rPr>
          <w:rFonts w:ascii="Calibri" w:cs="Calibri" w:eastAsia="Calibri" w:hAnsi="Calibri"/>
          <w:color w:val="1F2937"/>
          <w:sz w:val="22"/>
          <w:szCs w:val="22"/>
        </w:rPr>
        <w:t xml:space="preserve">Durchsuchen Sie die vollständige Trailer-Liste, fügen Sie dem Pool einen neuen Trailer hinzu, entfernen Sie einen endgültig oder markieren Sie einen als VOR (Fahrzeug außer Betrieb).</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Einen Trailer als VOR markieren.  </w:t>
      </w:r>
      <w:r>
        <w:rPr>
          <w:rFonts w:ascii="Calibri" w:cs="Calibri" w:eastAsia="Calibri" w:hAnsi="Calibri"/>
          <w:color w:val="4B5563"/>
          <w:sz w:val="22"/>
          <w:szCs w:val="22"/>
        </w:rPr>
        <w:t xml:space="preserve"> Steht er frei im Depot, wird er sofort von VMU gesperrt; ist er auf Route, wird er automatisch gesperrt, sobald er das nächste Mal an den Standort zurückkehrt. In beiden Fällen kann nur VMU ihn wieder freigeben (Kapitel 13).</w:t>
      </w:r>
    </w:p>
    <w:p>
      <w:pPr>
        <w:pStyle w:val="Heading2"/>
        <w:spacing w:after="160" w:before="360"/>
      </w:pPr>
      <w:r>
        <w:rPr>
          <w:rFonts w:ascii="Calibri" w:cs="Calibri" w:eastAsia="Calibri" w:hAnsi="Calibri"/>
          <w:b/>
          <w:bCs/>
          <w:color w:val="1F2937"/>
          <w:sz w:val="27"/>
          <w:szCs w:val="27"/>
        </w:rPr>
        <w:t xml:space="preserve">12.2 Lkw</w:t>
      </w:r>
    </w:p>
    <w:p>
      <w:pPr>
        <w:spacing w:after="200" w:line="300"/>
      </w:pPr>
      <w:r>
        <w:rPr>
          <w:rFonts w:ascii="Calibri" w:cs="Calibri" w:eastAsia="Calibri" w:hAnsi="Calibri"/>
          <w:color w:val="1F2937"/>
          <w:sz w:val="22"/>
          <w:szCs w:val="22"/>
        </w:rPr>
        <w:t xml:space="preserve">Dasselbe Prinzip wie bei Trailern: hinzufügen, entfernen und als VOR markieren, optional mit Grund. Ein als VOR markierter Lkw erscheint als „Held by VMU“, bis er freigegeben wird.</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13. VMU</w:t>
      </w:r>
    </w:p>
    <w:p>
      <w:pPr>
        <w:spacing w:after="200" w:line="300"/>
      </w:pPr>
      <w:r>
        <w:rPr>
          <w:rFonts w:ascii="Calibri" w:cs="Calibri" w:eastAsia="Calibri" w:hAnsi="Calibri"/>
          <w:color w:val="1F2937"/>
          <w:sz w:val="22"/>
          <w:szCs w:val="22"/>
        </w:rPr>
        <w:t xml:space="preserve">VMU (Vehicle Maintenance Unit) ist der Ort, an dem Trailer und Lkw, die Fleet als VOR markiert hat, gehalten werden, bis sie wieder einsatzfähig sind.</w:t>
      </w:r>
    </w:p>
    <w:p>
      <w:pPr>
        <w:pStyle w:val="Heading2"/>
        <w:spacing w:after="160" w:before="360"/>
      </w:pPr>
      <w:r>
        <w:rPr>
          <w:rFonts w:ascii="Calibri" w:cs="Calibri" w:eastAsia="Calibri" w:hAnsi="Calibri"/>
          <w:b/>
          <w:bCs/>
          <w:color w:val="1F2937"/>
          <w:sz w:val="27"/>
          <w:szCs w:val="27"/>
        </w:rPr>
        <w:t xml:space="preserve">13.1 Gesperrte Trailer</w:t>
      </w:r>
    </w:p>
    <w:p>
      <w:pPr>
        <w:spacing w:after="200" w:line="300"/>
      </w:pPr>
      <w:r>
        <w:rPr>
          <w:rFonts w:ascii="Calibri" w:cs="Calibri" w:eastAsia="Calibri" w:hAnsi="Calibri"/>
          <w:color w:val="1F2937"/>
          <w:sz w:val="22"/>
          <w:szCs w:val="22"/>
        </w:rPr>
        <w:t xml:space="preserve">Jeder derzeit von VMU gesperrte Trailer, standortübergreifend, mit Typ und letzter Route. Release stellt ihn sofort wieder in den verfügbaren Pool.</w:t>
      </w:r>
    </w:p>
    <w:p>
      <w:pPr>
        <w:pStyle w:val="Heading2"/>
        <w:spacing w:after="160" w:before="360"/>
      </w:pPr>
      <w:r>
        <w:rPr>
          <w:rFonts w:ascii="Calibri" w:cs="Calibri" w:eastAsia="Calibri" w:hAnsi="Calibri"/>
          <w:b/>
          <w:bCs/>
          <w:color w:val="1F2937"/>
          <w:sz w:val="27"/>
          <w:szCs w:val="27"/>
        </w:rPr>
        <w:t xml:space="preserve">13.2 Gesperrte Lkw</w:t>
      </w:r>
    </w:p>
    <w:p>
      <w:pPr>
        <w:spacing w:after="200" w:line="300"/>
      </w:pPr>
      <w:r>
        <w:rPr>
          <w:rFonts w:ascii="Calibri" w:cs="Calibri" w:eastAsia="Calibri" w:hAnsi="Calibri"/>
          <w:color w:val="1F2937"/>
          <w:sz w:val="22"/>
          <w:szCs w:val="22"/>
        </w:rPr>
        <w:t xml:space="preserve">Jeder VOR-Lkw, mit dem Grund, den Fleet beim Markieren angegeben hat. Release gibt ihn in die Verfügbarkeitsliste von Dispatch zurück.</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14. Fehlerbehebung</w:t>
      </w:r>
    </w:p>
    <w:p>
      <w:pPr>
        <w:pStyle w:val="Heading2"/>
        <w:spacing w:after="160" w:before="360"/>
      </w:pPr>
      <w:r>
        <w:rPr>
          <w:rFonts w:ascii="Calibri" w:cs="Calibri" w:eastAsia="Calibri" w:hAnsi="Calibri"/>
          <w:b/>
          <w:bCs/>
          <w:color w:val="1F2937"/>
          <w:sz w:val="27"/>
          <w:szCs w:val="27"/>
        </w:rPr>
        <w:t xml:space="preserve">14.1 „This file is in use“ nach der Deinstallation</w:t>
      </w:r>
    </w:p>
    <w:p>
      <w:pPr>
        <w:spacing w:after="200" w:line="300"/>
      </w:pPr>
      <w:r>
        <w:rPr>
          <w:rFonts w:ascii="Calibri" w:cs="Calibri" w:eastAsia="Calibri" w:hAnsi="Calibri"/>
          <w:color w:val="1F2937"/>
          <w:sz w:val="22"/>
          <w:szCs w:val="22"/>
        </w:rPr>
        <w:t xml:space="preserve">TASc6 läuft normalerweise ohne sichtbares Fenster — das Infobereichssymbol steuert es, kein Programm in der Taskleiste. Windows kann dennoch eine Datei offen halten, wegen einer im Hintergrund laufenden Node.js-Kopie, meist wenn TASc6 über die Verknüpfung „Troubleshooting (console window)“ gestartet wurde oder vor einer Neuinstallation weiterlief.</w:t>
      </w:r>
    </w:p>
    <w:p>
      <w:pPr>
        <w:pStyle w:val="ListParagraph"/>
        <w:numPr>
          <w:ilvl w:val="0"/>
          <w:numId w:val="11"/>
        </w:numPr>
        <w:spacing w:after="180" w:line="290"/>
      </w:pPr>
      <w:r>
        <w:rPr>
          <w:rFonts w:ascii="Calibri" w:cs="Calibri" w:eastAsia="Calibri" w:hAnsi="Calibri"/>
          <w:color w:val="1F2937"/>
          <w:sz w:val="22"/>
          <w:szCs w:val="22"/>
        </w:rPr>
        <w:t xml:space="preserve">Öffnen Sie den Task-Manager (Strg+Umschalt+Esc) und klicken Sie auf die Registerkarte Details.</w:t>
      </w:r>
    </w:p>
    <w:p>
      <w:pPr>
        <w:pStyle w:val="ListParagraph"/>
        <w:numPr>
          <w:ilvl w:val="0"/>
          <w:numId w:val="11"/>
        </w:numPr>
        <w:spacing w:after="180" w:line="290"/>
      </w:pPr>
      <w:r>
        <w:rPr>
          <w:rFonts w:ascii="Calibri" w:cs="Calibri" w:eastAsia="Calibri" w:hAnsi="Calibri"/>
          <w:color w:val="1F2937"/>
          <w:sz w:val="22"/>
          <w:szCs w:val="22"/>
        </w:rPr>
        <w:t xml:space="preserve">Klicken Sie mit rechts auf die Spaltenköpfe, wählen Sie Spalten auswählen und aktivieren Sie Befehlszeile.</w:t>
      </w:r>
    </w:p>
    <w:p>
      <w:pPr>
        <w:pStyle w:val="ListParagraph"/>
        <w:numPr>
          <w:ilvl w:val="0"/>
          <w:numId w:val="11"/>
        </w:numPr>
        <w:spacing w:after="180" w:line="290"/>
      </w:pPr>
      <w:r>
        <w:rPr>
          <w:rFonts w:ascii="Calibri" w:cs="Calibri" w:eastAsia="Calibri" w:hAnsi="Calibri"/>
          <w:color w:val="1F2937"/>
          <w:sz w:val="22"/>
          <w:szCs w:val="22"/>
        </w:rPr>
        <w:t xml:space="preserve">Sortieren Sie nach Name und suchen Sie node.exe — die Spalte Befehlszeile nennt server.js oder Ihren TASc6-Installationsordner.</w:t>
      </w:r>
    </w:p>
    <w:p>
      <w:pPr>
        <w:pStyle w:val="ListParagraph"/>
        <w:numPr>
          <w:ilvl w:val="0"/>
          <w:numId w:val="11"/>
        </w:numPr>
        <w:spacing w:after="180" w:line="290"/>
      </w:pPr>
      <w:r>
        <w:rPr>
          <w:rFonts w:ascii="Calibri" w:cs="Calibri" w:eastAsia="Calibri" w:hAnsi="Calibri"/>
          <w:color w:val="1F2937"/>
          <w:sz w:val="22"/>
          <w:szCs w:val="22"/>
        </w:rPr>
        <w:t xml:space="preserve">Klicken Sie mit rechts darauf und wählen Sie Task beenden.</w:t>
      </w:r>
    </w:p>
    <w:p>
      <w:pPr>
        <w:pStyle w:val="ListParagraph"/>
        <w:numPr>
          <w:ilvl w:val="0"/>
          <w:numId w:val="11"/>
        </w:numPr>
        <w:spacing w:after="180" w:line="290"/>
      </w:pPr>
      <w:r>
        <w:rPr>
          <w:rFonts w:ascii="Calibri" w:cs="Calibri" w:eastAsia="Calibri" w:hAnsi="Calibri"/>
          <w:color w:val="1F2937"/>
          <w:sz w:val="22"/>
          <w:szCs w:val="22"/>
        </w:rPr>
        <w:t xml:space="preserve">Prüfen Sie auch in der Taskleiste, ob ein schwarzes Konsolenfenster offen ist, und schließen Sie es gegebenenfalls.</w:t>
      </w:r>
    </w:p>
    <w:p>
      <w:pPr>
        <w:pStyle w:val="Heading2"/>
        <w:spacing w:after="160" w:before="360"/>
      </w:pPr>
      <w:r>
        <w:rPr>
          <w:rFonts w:ascii="Calibri" w:cs="Calibri" w:eastAsia="Calibri" w:hAnsi="Calibri"/>
          <w:b/>
          <w:bCs/>
          <w:color w:val="1F2937"/>
          <w:sz w:val="27"/>
          <w:szCs w:val="27"/>
        </w:rPr>
        <w:t xml:space="preserve">14.2 Das Symbol zeigt Stopped, obwohl TASc6 offensichtlich läuft</w:t>
      </w:r>
    </w:p>
    <w:p>
      <w:pPr>
        <w:spacing w:after="200" w:line="300"/>
      </w:pPr>
      <w:r>
        <w:rPr>
          <w:rFonts w:ascii="Calibri" w:cs="Calibri" w:eastAsia="Calibri" w:hAnsi="Calibri"/>
          <w:color w:val="1F2937"/>
          <w:sz w:val="22"/>
          <w:szCs w:val="22"/>
        </w:rPr>
        <w:t xml:space="preserve">Klicken Sie mit rechts auf das Symbol und wählen Sie Start. Läuft TASc6 tatsächlich bereits (zum Beispiel über die Konsolenverknüpfung statt über das Infobereichssymbol gestartet), erkennt es das und startet keine zweite Kopie — der Versuch ist ungefährlich. Wirkt der Status danach immer noch falsch, starten Sie das Symbol selbst neu: Rechtsklick → Exit, dann TASc6 über das Startmenü erneut öffnen.</w:t>
      </w:r>
    </w:p>
    <w:p>
      <w:pPr>
        <w:pStyle w:val="Heading2"/>
        <w:spacing w:after="160" w:before="360"/>
      </w:pPr>
      <w:r>
        <w:rPr>
          <w:rFonts w:ascii="Calibri" w:cs="Calibri" w:eastAsia="Calibri" w:hAnsi="Calibri"/>
          <w:b/>
          <w:bCs/>
          <w:color w:val="1F2937"/>
          <w:sz w:val="27"/>
          <w:szCs w:val="27"/>
        </w:rPr>
        <w:t xml:space="preserve">14.3 Niemand sonst am Standort erreicht TASc6</w:t>
      </w:r>
    </w:p>
    <w:p>
      <w:pPr>
        <w:spacing w:after="200" w:line="300"/>
      </w:pPr>
      <w:r>
        <w:rPr>
          <w:rFonts w:ascii="Calibri" w:cs="Calibri" w:eastAsia="Calibri" w:hAnsi="Calibri"/>
          <w:color w:val="1F2937"/>
          <w:sz w:val="22"/>
          <w:szCs w:val="22"/>
        </w:rPr>
        <w:t xml:space="preserve">Prüfen Sie der Reihe nach:</w:t>
      </w:r>
    </w:p>
    <w:p>
      <w:pPr>
        <w:pStyle w:val="ListParagraph"/>
        <w:numPr>
          <w:ilvl w:val="0"/>
          <w:numId w:val="6"/>
        </w:numPr>
        <w:spacing w:after="120" w:line="290"/>
      </w:pPr>
      <w:r>
        <w:rPr>
          <w:rFonts w:ascii="Calibri" w:cs="Calibri" w:eastAsia="Calibri" w:hAnsi="Calibri"/>
          <w:color w:val="1F2937"/>
          <w:sz w:val="22"/>
          <w:szCs w:val="22"/>
        </w:rPr>
        <w:t xml:space="preserve">Ist der Host-Rechner eingeschaltet, und zeigt das Infobereichssymbol TASc6 als laufend?</w:t>
      </w:r>
    </w:p>
    <w:p>
      <w:pPr>
        <w:pStyle w:val="ListParagraph"/>
        <w:numPr>
          <w:ilvl w:val="0"/>
          <w:numId w:val="6"/>
        </w:numPr>
        <w:spacing w:after="120" w:line="290"/>
      </w:pPr>
      <w:r>
        <w:rPr>
          <w:rFonts w:ascii="Calibri" w:cs="Calibri" w:eastAsia="Calibri" w:hAnsi="Calibri"/>
          <w:color w:val="1F2937"/>
          <w:sz w:val="22"/>
          <w:szCs w:val="22"/>
        </w:rPr>
        <w:t xml:space="preserve">Wurde die Windows-Firewall-Meldung für Node.js zugelassen (siehe 2.5)?</w:t>
      </w:r>
    </w:p>
    <w:p>
      <w:pPr>
        <w:pStyle w:val="ListParagraph"/>
        <w:numPr>
          <w:ilvl w:val="0"/>
          <w:numId w:val="6"/>
        </w:numPr>
        <w:spacing w:after="120" w:line="290"/>
      </w:pPr>
      <w:r>
        <w:rPr>
          <w:rFonts w:ascii="Calibri" w:cs="Calibri" w:eastAsia="Calibri" w:hAnsi="Calibri"/>
          <w:color w:val="1F2937"/>
          <w:sz w:val="22"/>
          <w:szCs w:val="22"/>
        </w:rPr>
        <w:t xml:space="preserve">Befindet sich das Gerät, das sich verbinden will, im selben Netzwerk/VLAN wie der Host-Rechner?</w:t>
      </w:r>
    </w:p>
    <w:p>
      <w:pPr>
        <w:pStyle w:val="ListParagraph"/>
        <w:numPr>
          <w:ilvl w:val="0"/>
          <w:numId w:val="6"/>
        </w:numPr>
        <w:spacing w:after="120" w:line="290"/>
      </w:pPr>
      <w:r>
        <w:rPr>
          <w:rFonts w:ascii="Calibri" w:cs="Calibri" w:eastAsia="Calibri" w:hAnsi="Calibri"/>
          <w:color w:val="1F2937"/>
          <w:sz w:val="22"/>
          <w:szCs w:val="22"/>
        </w:rPr>
        <w:t xml:space="preserve">Verwendet es die feste Adresse des Host-Rechners und nicht „localhost“ (das funktioniert immer nur auf dem Host-Rechner selbst)?</w:t>
      </w:r>
    </w:p>
    <w:p>
      <w:pPr>
        <w:pStyle w:val="ListParagraph"/>
        <w:numPr>
          <w:ilvl w:val="0"/>
          <w:numId w:val="6"/>
        </w:numPr>
        <w:spacing w:after="120" w:line="290"/>
      </w:pPr>
      <w:r>
        <w:rPr>
          <w:rFonts w:ascii="Calibri" w:cs="Calibri" w:eastAsia="Calibri" w:hAnsi="Calibri"/>
          <w:color w:val="1F2937"/>
          <w:sz w:val="22"/>
          <w:szCs w:val="22"/>
        </w:rPr>
        <w:t xml:space="preserve">Bei einem Tablet: Ist an dieser Stelle im Depot tatsächlich WLAN-Signal vorhanden?</w:t>
      </w:r>
    </w:p>
    <w:p>
      <w:pPr>
        <w:pStyle w:val="Heading2"/>
        <w:spacing w:after="160" w:before="360"/>
      </w:pPr>
      <w:r>
        <w:rPr>
          <w:rFonts w:ascii="Calibri" w:cs="Calibri" w:eastAsia="Calibri" w:hAnsi="Calibri"/>
          <w:b/>
          <w:bCs/>
          <w:color w:val="1F2937"/>
          <w:sz w:val="27"/>
          <w:szCs w:val="27"/>
        </w:rPr>
        <w:t xml:space="preserve">14.4 Passwort vergessen</w:t>
      </w:r>
    </w:p>
    <w:p>
      <w:pPr>
        <w:spacing w:after="200" w:line="300"/>
      </w:pPr>
      <w:r>
        <w:rPr>
          <w:rFonts w:ascii="Calibri" w:cs="Calibri" w:eastAsia="Calibri" w:hAnsi="Calibri"/>
          <w:color w:val="1F2937"/>
          <w:sz w:val="22"/>
          <w:szCs w:val="22"/>
        </w:rPr>
        <w:t xml:space="preserve">Nur Admin kann ein neues Passwort für Ihr Konto setzen — es gibt kein Zurücksetzen in Eigenregie. Bitten Sie den Admin Ihres Standorts, Users zu öffnen, Ihr Konto zu bearbeiten und ein neues Passwort zu setzen.</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15. Hilfe erhalten</w:t>
      </w:r>
    </w:p>
    <w:p>
      <w:pPr>
        <w:spacing w:after="200" w:line="300"/>
      </w:pPr>
      <w:r>
        <w:rPr>
          <w:rFonts w:ascii="Calibri" w:cs="Calibri" w:eastAsia="Calibri" w:hAnsi="Calibri"/>
          <w:color w:val="1F2937"/>
          <w:sz w:val="22"/>
          <w:szCs w:val="22"/>
        </w:rPr>
        <w:t xml:space="preserve">Der Admin Ihres Standorts ist die erste Anlaufstelle für Alltagsfragen — Konten, Standorte, Stellplätze und Trailer kann er direkt ändern.</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Anliegen</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Kontakt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Installationshilfe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Lizenzen und Verlängerungen</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Allgemeine Anfragen</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info@tasc6.net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Alles andere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tasc6.net/contact.html</w:t>
            </w:r>
          </w:p>
        </w:tc>
      </w:tr>
    </w:tbl>
    <w:p>
      <w:pPr>
        <w:spacing w:after="200" w:line="300"/>
      </w:pPr>
      <w:r>
        <w:rPr>
          <w:rFonts w:ascii="Calibri" w:cs="Calibri" w:eastAsia="Calibri" w:hAnsi="Calibri"/>
          <w:color w:val="1F2937"/>
          <w:sz w:val="22"/>
          <w:szCs w:val="22"/>
        </w:rPr>
        <w:t xml:space="preserve">TASc6 wird direkt von dem Team gebaut und betreut, das es entwickelt — wenn in Ihrem Depot etwas nicht stimmt, sprechen Sie mit jemandem, der es tatsächlich beheben kann, nicht mit einer Ticket-Warteschlange.</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abstractNum w:abstractNumId="3" w15:restartNumberingAfterBreak="0">
    <w:multiLevelType w:val="hybridMultilevel"/>
    <w:lvl w:ilvl="0" w15:tentative="1">
      <w:start w:val="1"/>
      <w:numFmt w:val="decimal"/>
      <w:lvlText w:val="%1."/>
      <w:lvlJc w:val="left"/>
      <w:pPr>
        <w:ind w:left="480" w:hanging="320"/>
      </w:pPr>
    </w:lvl>
  </w:abstractNum>
  <w:abstractNum w:abstractNumId="4" w15:restartNumberingAfterBreak="0">
    <w:multiLevelType w:val="hybridMultilevel"/>
    <w:lvl w:ilvl="0" w15:tentative="1">
      <w:start w:val="1"/>
      <w:numFmt w:val="decimal"/>
      <w:lvlText w:val="%1."/>
      <w:lvlJc w:val="left"/>
      <w:pPr>
        <w:ind w:left="480" w:hanging="320"/>
      </w:pPr>
    </w:lvl>
  </w:abstractNum>
  <w:abstractNum w:abstractNumId="5" w15:restartNumberingAfterBreak="0">
    <w:multiLevelType w:val="hybridMultilevel"/>
    <w:lvl w:ilvl="0" w15:tentative="1">
      <w:start w:val="1"/>
      <w:numFmt w:val="decimal"/>
      <w:lvlText w:val="%1."/>
      <w:lvlJc w:val="left"/>
      <w:pPr>
        <w:ind w:left="480" w:hanging="320"/>
      </w:pPr>
    </w:lvl>
  </w:abstractNum>
  <w:abstractNum w:abstractNumId="6" w15:restartNumberingAfterBreak="0">
    <w:multiLevelType w:val="hybridMultilevel"/>
    <w:lvl w:ilvl="0" w15:tentative="1">
      <w:start w:val="1"/>
      <w:numFmt w:val="decimal"/>
      <w:lvlText w:val="%1."/>
      <w:lvlJc w:val="left"/>
      <w:pPr>
        <w:ind w:left="480" w:hanging="320"/>
      </w:pPr>
    </w:lvl>
  </w:abstractNum>
  <w:abstractNum w:abstractNumId="7" w15:restartNumberingAfterBreak="0">
    <w:multiLevelType w:val="hybridMultilevel"/>
    <w:lvl w:ilvl="0" w15:tentative="1">
      <w:start w:val="1"/>
      <w:numFmt w:val="decimal"/>
      <w:lvlText w:val="%1."/>
      <w:lvlJc w:val="left"/>
      <w:pPr>
        <w:ind w:left="480" w:hanging="320"/>
      </w:pPr>
    </w:lvl>
  </w:abstractNum>
  <w:abstractNum w:abstractNumId="8" w15:restartNumberingAfterBreak="0">
    <w:multiLevelType w:val="hybridMultilevel"/>
    <w:lvl w:ilvl="0" w15:tentative="1">
      <w:start w:val="1"/>
      <w:numFmt w:val="decimal"/>
      <w:lvlText w:val="%1."/>
      <w:lvlJc w:val="left"/>
      <w:pPr>
        <w:ind w:left="480" w:hanging="320"/>
      </w:pPr>
    </w:lvl>
  </w:abstractNum>
  <w:abstractNum w:abstractNumId="9" w15:restartNumberingAfterBreak="0">
    <w:multiLevelType w:val="hybridMultilevel"/>
    <w:lvl w:ilvl="0" w15:tentative="1">
      <w:start w:val="1"/>
      <w:numFmt w:val="decimal"/>
      <w:lvlText w:val="%1."/>
      <w:lvlJc w:val="left"/>
      <w:pPr>
        <w:ind w:left="480" w:hanging="320"/>
      </w:pPr>
    </w:lvl>
  </w:abstractNum>
  <w:abstractNum w:abstractNumId="10" w15:restartNumberingAfterBreak="0">
    <w:multiLevelType w:val="hybridMultilevel"/>
    <w:lvl w:ilvl="0" w15:tentative="1">
      <w:start w:val="1"/>
      <w:numFmt w:val="decimal"/>
      <w:lvlText w:val="%1."/>
      <w:lvlJc w:val="left"/>
      <w:pPr>
        <w:ind w:left="480" w:hanging="320"/>
      </w:pPr>
    </w:lvl>
  </w:abstractNum>
  <w:abstractNum w:abstractNumId="11" w15:restartNumberingAfterBreak="0">
    <w:multiLevelType w:val="hybridMultilevel"/>
    <w:lvl w:ilvl="0" w15:tentative="1">
      <w:start w:val="1"/>
      <w:numFmt w:val="decimal"/>
      <w:lvlText w:val="%1."/>
      <w:lvlJc w:val="left"/>
      <w:pPr>
        <w:ind w:left="480" w:hanging="320"/>
      </w:pPr>
    </w:lvl>
  </w:abstractNum>
  <w:abstractNum w:abstractNumId="12" w15:restartNumberingAfterBreak="0">
    <w:multiLevelType w:val="hybridMultilevel"/>
    <w:lvl w:ilvl="0" w15:tentative="1">
      <w:start w:val="1"/>
      <w:numFmt w:val="decimal"/>
      <w:lvlText w:val="%1."/>
      <w:lvlJc w:val="left"/>
      <w:pPr>
        <w:ind w:left="480" w:hanging="320"/>
      </w:pPr>
    </w:lvl>
  </w:abstractNum>
  <w:abstractNum w:abstractNumId="13" w15:restartNumberingAfterBreak="0">
    <w:multiLevelType w:val="hybridMultilevel"/>
    <w:lvl w:ilvl="0" w15:tentative="1">
      <w:start w:val="1"/>
      <w:numFmt w:val="decimal"/>
      <w:lvlText w:val="%1."/>
      <w:lvlJc w:val="left"/>
      <w:pPr>
        <w:ind w:left="480" w:hanging="320"/>
      </w:pPr>
    </w:lvl>
  </w:abstractNum>
  <w:abstractNum w:abstractNumId="14" w15:restartNumberingAfterBreak="0">
    <w:multiLevelType w:val="hybridMultilevel"/>
    <w:lvl w:ilvl="0" w15:tentative="1">
      <w:start w:val="1"/>
      <w:numFmt w:val="decimal"/>
      <w:lvlText w:val="%1."/>
      <w:lvlJc w:val="left"/>
      <w:pPr>
        <w:ind w:left="480" w:hanging="320"/>
      </w:pPr>
    </w:lvl>
  </w:abstractNum>
  <w:abstractNum w:abstractNumId="15" w15:restartNumberingAfterBreak="0">
    <w:multiLevelType w:val="hybridMultilevel"/>
    <w:lvl w:ilvl="0" w15:tentative="1">
      <w:start w:val="1"/>
      <w:numFmt w:val="decimal"/>
      <w:lvlText w:val="%1."/>
      <w:lvlJc w:val="left"/>
      <w:pPr>
        <w:ind w:left="480" w:hanging="320"/>
      </w:pPr>
    </w:lvl>
  </w:abstractNum>
  <w:abstractNum w:abstractNumId="16" w15:restartNumberingAfterBreak="0">
    <w:multiLevelType w:val="hybridMultilevel"/>
    <w:lvl w:ilvl="0" w15:tentative="1">
      <w:start w:val="1"/>
      <w:numFmt w:val="decimal"/>
      <w:lvlText w:val="%1."/>
      <w:lvlJc w:val="left"/>
      <w:pPr>
        <w:ind w:left="480" w:hanging="320"/>
      </w:pPr>
    </w:lvl>
  </w:abstractNum>
  <w:abstractNum w:abstractNumId="17" w15:restartNumberingAfterBreak="0">
    <w:multiLevelType w:val="hybridMultilevel"/>
    <w:lvl w:ilvl="0" w15:tentative="1">
      <w:start w:val="1"/>
      <w:numFmt w:val="decimal"/>
      <w:lvlText w:val="%1."/>
      <w:lvlJc w:val="left"/>
      <w:pPr>
        <w:ind w:left="480" w:hanging="320"/>
      </w:pPr>
    </w:lvl>
  </w:abstractNum>
  <w:abstractNum w:abstractNumId="18" w15:restartNumberingAfterBreak="0">
    <w:multiLevelType w:val="hybridMultilevel"/>
    <w:lvl w:ilvl="0" w15:tentative="1">
      <w:start w:val="1"/>
      <w:numFmt w:val="decimal"/>
      <w:lvlText w:val="%1."/>
      <w:lvlJc w:val="left"/>
      <w:pPr>
        <w:ind w:left="480" w:hanging="320"/>
      </w:pPr>
    </w:lvl>
  </w:abstractNum>
  <w:abstractNum w:abstractNumId="19" w15:restartNumberingAfterBreak="0">
    <w:multiLevelType w:val="hybridMultilevel"/>
    <w:lvl w:ilvl="0" w15:tentative="1">
      <w:start w:val="1"/>
      <w:numFmt w:val="decimal"/>
      <w:lvlText w:val="%1."/>
      <w:lvlJc w:val="left"/>
      <w:pPr>
        <w:ind w:left="480" w:hanging="320"/>
      </w:pPr>
    </w:lvl>
  </w:abstractNum>
  <w:abstractNum w:abstractNumId="20" w15:restartNumberingAfterBreak="0">
    <w:multiLevelType w:val="hybridMultilevel"/>
    <w:lvl w:ilvl="0" w15:tentative="1">
      <w:start w:val="1"/>
      <w:numFmt w:val="decimal"/>
      <w:lvlText w:val="%1."/>
      <w:lvlJc w:val="left"/>
      <w:pPr>
        <w:ind w:left="480" w:hanging="320"/>
      </w:pPr>
    </w:lvl>
  </w:abstractNum>
  <w:abstractNum w:abstractNumId="21" w15:restartNumberingAfterBreak="0">
    <w:multiLevelType w:val="hybridMultilevel"/>
    <w:lvl w:ilvl="0" w15:tentative="1">
      <w:start w:val="1"/>
      <w:numFmt w:val="decimal"/>
      <w:lvlText w:val="%1."/>
      <w:lvlJc w:val="left"/>
      <w:pPr>
        <w:ind w:left="480" w:hanging="320"/>
      </w:pPr>
    </w:lvl>
  </w:abstractNum>
  <w:abstractNum w:abstractNumId="22" w15:restartNumberingAfterBreak="0">
    <w:multiLevelType w:val="hybridMultilevel"/>
    <w:lvl w:ilvl="0" w15:tentative="1">
      <w:start w:val="1"/>
      <w:numFmt w:val="decimal"/>
      <w:lvlText w:val="%1."/>
      <w:lvlJc w:val="left"/>
      <w:pPr>
        <w:ind w:left="480" w:hanging="320"/>
      </w:pPr>
    </w:lvl>
  </w:abstractNum>
  <w:abstractNum w:abstractNumId="23" w15:restartNumberingAfterBreak="0">
    <w:multiLevelType w:val="hybridMultilevel"/>
    <w:lvl w:ilvl="0" w15:tentative="1">
      <w:start w:val="1"/>
      <w:numFmt w:val="decimal"/>
      <w:lvlText w:val="%1."/>
      <w:lvlJc w:val="left"/>
      <w:pPr>
        <w:ind w:left="480" w:hanging="320"/>
      </w:pPr>
    </w:lvl>
  </w:abstractNum>
  <w:abstractNum w:abstractNumId="24" w15:restartNumberingAfterBreak="0">
    <w:multiLevelType w:val="hybridMultilevel"/>
    <w:lvl w:ilvl="0" w15:tentative="1">
      <w:start w:val="1"/>
      <w:numFmt w:val="decimal"/>
      <w:lvlText w:val="%1."/>
      <w:lvlJc w:val="left"/>
      <w:pPr>
        <w:ind w:left="480" w:hanging="320"/>
      </w:pPr>
    </w:lvl>
  </w:abstractNum>
  <w:abstractNum w:abstractNumId="25" w15:restartNumberingAfterBreak="0">
    <w:multiLevelType w:val="hybridMultilevel"/>
    <w:lvl w:ilvl="0" w15:tentative="1">
      <w:start w:val="1"/>
      <w:numFmt w:val="decimal"/>
      <w:lvlText w:val="%1."/>
      <w:lvlJc w:val="left"/>
      <w:pPr>
        <w:ind w:left="480" w:hanging="320"/>
      </w:pPr>
    </w:lvl>
  </w:abstractNum>
  <w:abstractNum w:abstractNumId="26" w15:restartNumberingAfterBreak="0">
    <w:multiLevelType w:val="hybridMultilevel"/>
    <w:lvl w:ilvl="0" w15:tentative="1">
      <w:start w:val="1"/>
      <w:numFmt w:val="decimal"/>
      <w:lvlText w:val="%1."/>
      <w:lvlJc w:val="left"/>
      <w:pPr>
        <w:ind w:left="480" w:hanging="32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2"/>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lang w:val="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TASc6 Benutzerhandbuch</dc:title>
  <dc:creator>TASc6 Ltd</dc:creator>
  <cp:lastModifiedBy>Un-named</cp:lastModifiedBy>
  <cp:revision>1</cp:revision>
  <dcterms:created xsi:type="dcterms:W3CDTF">2026-10-01T00:23:29.979Z</dcterms:created>
  <dcterms:modified xsi:type="dcterms:W3CDTF">2026-10-01T00:23:29.979Z</dcterms:modified>
</cp:coreProperties>
</file>

<file path=docProps/custom.xml><?xml version="1.0" encoding="utf-8"?>
<Properties xmlns="http://schemas.openxmlformats.org/officeDocument/2006/custom-properties" xmlns:vt="http://schemas.openxmlformats.org/officeDocument/2006/docPropsVTypes"/>
</file>