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Guía de usuario</w:t>
      </w:r>
    </w:p>
    <w:p>
      <w:pPr>
        <w:spacing w:after="80"/>
        <w:jc w:val="center"/>
      </w:pPr>
      <w:r>
        <w:rPr>
          <w:rFonts w:ascii="Calibri" w:cs="Calibri" w:eastAsia="Calibri" w:hAnsi="Calibri"/>
          <w:color w:val="4B5563"/>
          <w:sz w:val="20"/>
          <w:szCs w:val="20"/>
        </w:rPr>
        <w:t xml:space="preserve">Cubre la instalación, la configuración del sitio y todos los roles: Admin, Planner,</w:t>
      </w:r>
    </w:p>
    <w:p>
      <w:pPr>
        <w:spacing w:after="800"/>
        <w:jc w:val="center"/>
      </w:pPr>
      <w:r>
        <w:rPr>
          <w:rFonts w:ascii="Calibri" w:cs="Calibri" w:eastAsia="Calibri" w:hAnsi="Calibri"/>
          <w:color w:val="4B5563"/>
          <w:sz w:val="20"/>
          <w:szCs w:val="20"/>
        </w:rPr>
        <w:t xml:space="preserve">Loader, Dekit, Shunter, Dispatch, Security, Fleet y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Contenido</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Haga clic derecho en esta tabla y elija «Actualizar campos» (o pulse F9) para rellenarla con los números de página.</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Introducción</w:t>
      </w:r>
    </w:p>
    <w:p>
      <w:pPr>
        <w:spacing w:after="200" w:line="300"/>
      </w:pPr>
      <w:r>
        <w:rPr>
          <w:rFonts w:ascii="Calibri" w:cs="Calibri" w:eastAsia="Calibri" w:hAnsi="Calibri"/>
          <w:color w:val="1F2937"/>
          <w:sz w:val="22"/>
          <w:szCs w:val="22"/>
        </w:rPr>
        <w:t xml:space="preserve">TASc6 sustituye pizarras, radios y hojas de cálculo por una única vista en directo de cada muelle, cada remolque y cada movimiento de su depósito. Todas las personas que tocan un remolque — quien lo carga, quien lo conduce por el depósito, quien lo registra en la puerta, quien lo envía a ruta — ven los mismos datos en directo, en una pantalla pensada para su propio trabajo.</w:t>
      </w:r>
    </w:p>
    <w:p>
      <w:pPr>
        <w:spacing w:after="200" w:line="300"/>
      </w:pPr>
      <w:r>
        <w:rPr>
          <w:rFonts w:ascii="Calibri" w:cs="Calibri" w:eastAsia="Calibri" w:hAnsi="Calibri"/>
          <w:color w:val="1F2937"/>
          <w:sz w:val="22"/>
          <w:szCs w:val="22"/>
        </w:rPr>
        <w:t xml:space="preserve">En lugar de una sola pantalla que intenta hacerlo todo, TASc6 da a cada rol exactamente lo que necesita y nada más:</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Qué hace</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Dispositivo habitual</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Configura sitios, usuarios, remolques, camiones, muelles y copias de seguridad.</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Define los puntos de entrega y las restricciones de muelles, y construye las rutas diarias.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Asigna remolques a muelles y marca las cargas como completadas.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Vacía los remolques que vuelven con producto antiguo o embalajes.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Mueve los remolques por el depósito desde una tableta en la cabina.</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Tableta (en cabina)</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Asigna conductor y camión a un remolque cargado antes de que salga.</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Registra cada entrada y salida de remolques en la puerta.</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 (garita)</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Mantiene el parque de camiones y remolques y los marca fuera de servicio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Devuelve camiones y remolques al servicio una vez reparados.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Ordenador</w:t>
            </w:r>
          </w:p>
        </w:tc>
      </w:tr>
    </w:tbl>
    <w:p>
      <w:pPr>
        <w:spacing w:after="200" w:line="300"/>
      </w:pPr>
      <w:r>
        <w:rPr>
          <w:rFonts w:ascii="Calibri" w:cs="Calibri" w:eastAsia="Calibri" w:hAnsi="Calibri"/>
          <w:color w:val="1F2937"/>
          <w:sz w:val="22"/>
          <w:szCs w:val="22"/>
        </w:rPr>
        <w:t xml:space="preserve">Esta guía tiene cuatro partes: la instalación de TASc6, la configuración de la red y los dispositivos de su sitio, un capítulo para cada rol anterior y un capítulo de resolución de problemas al final.</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Nota.  </w:t>
      </w:r>
      <w:r>
        <w:rPr>
          <w:rFonts w:ascii="Calibri" w:cs="Calibri" w:eastAsia="Calibri" w:hAnsi="Calibri"/>
          <w:color w:val="4B5563"/>
          <w:sz w:val="22"/>
          <w:szCs w:val="22"/>
        </w:rPr>
        <w:t xml:space="preserve"> Las pantallas se actualizan en el instante en que algo cambia en otro lugar — no hay botón de actualizar que buscar, ni hace falta.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Instalación de TASc6</w:t>
      </w:r>
    </w:p>
    <w:p>
      <w:pPr>
        <w:pStyle w:val="Heading2"/>
        <w:spacing w:after="160" w:before="360"/>
      </w:pPr>
      <w:r>
        <w:rPr>
          <w:rFonts w:ascii="Calibri" w:cs="Calibri" w:eastAsia="Calibri" w:hAnsi="Calibri"/>
          <w:b/>
          <w:bCs/>
          <w:color w:val="1F2937"/>
          <w:sz w:val="27"/>
          <w:szCs w:val="27"/>
        </w:rPr>
        <w:t xml:space="preserve">2.1 Antes de empezar</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Requisito</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Detalle</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Sistema operativo</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o Windows Server (64 bits)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Permisos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Derechos de administrador en el equipo donde se instala</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Espacio en disco</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Unos 500 MB libres — TASc6 incluye su propia copia de Node.js, así que no hay que instalar nada antes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No se necesita conexión a Internet durante la instalación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Puerto</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Puerto 3000 libre en el equipo (se puede cambiar después si choca con otra cosa)</w:t>
            </w:r>
          </w:p>
        </w:tc>
      </w:tr>
    </w:tbl>
    <w:p>
      <w:pPr>
        <w:pStyle w:val="Heading2"/>
        <w:spacing w:after="160" w:before="360"/>
      </w:pPr>
      <w:r>
        <w:rPr>
          <w:rFonts w:ascii="Calibri" w:cs="Calibri" w:eastAsia="Calibri" w:hAnsi="Calibri"/>
          <w:b/>
          <w:bCs/>
          <w:color w:val="1F2937"/>
          <w:sz w:val="27"/>
          <w:szCs w:val="27"/>
        </w:rPr>
        <w:t xml:space="preserve">2.2 Elegir su instalador</w:t>
      </w:r>
    </w:p>
    <w:p>
      <w:pPr>
        <w:spacing w:after="200" w:line="300"/>
      </w:pPr>
      <w:r>
        <w:rPr>
          <w:rFonts w:ascii="Calibri" w:cs="Calibri" w:eastAsia="Calibri" w:hAnsi="Calibri"/>
          <w:color w:val="1F2937"/>
          <w:sz w:val="22"/>
          <w:szCs w:val="22"/>
        </w:rPr>
        <w:t xml:space="preserve">Los dos instaladores son la misma aplicación — elija el que se ajuste al número de sitios que necesita. Si no está seguro, elija Multi Site: funciona incluso si al principio solo piensa usar un sitio.</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Instalador</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Úselo si…</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Gestiona, o podría gestionar algún día, más de un sitio vinculado. Incluye 2 sitios al principio — añada un tercero cuando quiera desde Admin.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Solo necesita un sitio. Totalmente preconfigurado con sus muelles, listo para funcionar.</w:t>
            </w:r>
          </w:p>
        </w:tc>
      </w:tr>
    </w:tbl>
    <w:p>
      <w:pPr>
        <w:spacing w:after="200" w:line="300"/>
      </w:pPr>
      <w:r>
        <w:rPr>
          <w:rFonts w:ascii="Calibri" w:cs="Calibri" w:eastAsia="Calibri" w:hAnsi="Calibri"/>
          <w:color w:val="1F2937"/>
          <w:sz w:val="22"/>
          <w:szCs w:val="22"/>
        </w:rPr>
        <w:t xml:space="preserve">Ambos ofrecen todos los roles — Planner, Loader, Shunter, Dekit, Security, Dispatch, Fleet, VMU y Admin — con la misma licencia y el mismo soporte.</w:t>
      </w:r>
    </w:p>
    <w:p>
      <w:pPr>
        <w:pStyle w:val="Heading2"/>
        <w:spacing w:after="160" w:before="360"/>
      </w:pPr>
      <w:r>
        <w:rPr>
          <w:rFonts w:ascii="Calibri" w:cs="Calibri" w:eastAsia="Calibri" w:hAnsi="Calibri"/>
          <w:b/>
          <w:bCs/>
          <w:color w:val="1F2937"/>
          <w:sz w:val="27"/>
          <w:szCs w:val="27"/>
        </w:rPr>
        <w:t xml:space="preserve">2.3 Descargar TASc6</w:t>
      </w:r>
    </w:p>
    <w:p>
      <w:pPr>
        <w:spacing w:after="200" w:line="300"/>
      </w:pPr>
      <w:r>
        <w:rPr>
          <w:rFonts w:ascii="Calibri" w:cs="Calibri" w:eastAsia="Calibri" w:hAnsi="Calibri"/>
          <w:color w:val="1F2937"/>
          <w:sz w:val="22"/>
          <w:szCs w:val="22"/>
        </w:rPr>
        <w:t xml:space="preserve">Descargue el instalador desde tasc6.net/download.html. Se le pedirá nombre, correo electrónico, empresa y localidad para saber quién está probando TASc6 y poder contactarle si tiene preguntas — la descarga empieza inmediatamente después.</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Prueba.  </w:t>
      </w:r>
      <w:r>
        <w:rPr>
          <w:rFonts w:ascii="Calibri" w:cs="Calibri" w:eastAsia="Calibri" w:hAnsi="Calibri"/>
          <w:color w:val="4B5563"/>
          <w:sz w:val="22"/>
          <w:szCs w:val="22"/>
        </w:rPr>
        <w:t xml:space="preserve"> TASc6 es plenamente utilizable en cuanto se instala — todas las funciones operan durante 14 días sin clave de licencia. Compre y active una clave cuando quiera, durante o después de la prueba, para desbloquear un año completo.</w:t>
      </w:r>
    </w:p>
    <w:p>
      <w:pPr>
        <w:pStyle w:val="Heading2"/>
        <w:spacing w:after="160" w:before="360"/>
      </w:pPr>
      <w:r>
        <w:rPr>
          <w:rFonts w:ascii="Calibri" w:cs="Calibri" w:eastAsia="Calibri" w:hAnsi="Calibri"/>
          <w:b/>
          <w:bCs/>
          <w:color w:val="1F2937"/>
          <w:sz w:val="27"/>
          <w:szCs w:val="27"/>
        </w:rPr>
        <w:t xml:space="preserve">2.4 Ejecutar el instalador</w:t>
      </w:r>
    </w:p>
    <w:p>
      <w:pPr>
        <w:spacing w:after="200" w:line="300"/>
      </w:pPr>
      <w:r>
        <w:rPr>
          <w:rFonts w:ascii="Calibri" w:cs="Calibri" w:eastAsia="Calibri" w:hAnsi="Calibri"/>
          <w:color w:val="1F2937"/>
          <w:sz w:val="22"/>
          <w:szCs w:val="22"/>
        </w:rPr>
        <w:t xml:space="preserve">Windows es cauteloso con los instaladores nuevos y sin firmar descargados de Internet — TASc6 es el producto de una empresa pequeña y aún no tiene el historial de descargas que evita que Windows lo marque. Nada de lo siguiente significa que haya algún problema con el archivo.</w:t>
      </w:r>
    </w:p>
    <w:p>
      <w:pPr>
        <w:pStyle w:val="Heading3"/>
        <w:spacing w:after="120" w:before="260"/>
      </w:pPr>
      <w:r>
        <w:rPr>
          <w:rFonts w:ascii="Calibri" w:cs="Calibri" w:eastAsia="Calibri" w:hAnsi="Calibri"/>
          <w:b/>
          <w:bCs/>
          <w:color w:val="1F2937"/>
          <w:sz w:val="24"/>
          <w:szCs w:val="24"/>
        </w:rPr>
        <w:t xml:space="preserve">Su navegador marca la descarga</w:t>
      </w:r>
    </w:p>
    <w:p>
      <w:pPr>
        <w:spacing w:after="200" w:line="300"/>
      </w:pPr>
      <w:r>
        <w:rPr>
          <w:rFonts w:ascii="Calibri" w:cs="Calibri" w:eastAsia="Calibri" w:hAnsi="Calibri"/>
          <w:color w:val="1F2937"/>
          <w:sz w:val="22"/>
          <w:szCs w:val="22"/>
        </w:rPr>
        <w:t xml:space="preserve">Edge o Chrome pueden decir que el archivo «no se descarga habitualmente» o algo similar. Elija </w:t>
      </w:r>
      <w:r>
        <w:rPr>
          <w:rFonts w:ascii="Calibri" w:cs="Calibri" w:eastAsia="Calibri" w:hAnsi="Calibri"/>
          <w:b/>
          <w:bCs/>
          <w:color w:val="1F2937"/>
          <w:sz w:val="22"/>
          <w:szCs w:val="22"/>
        </w:rPr>
        <w:t xml:space="preserve">Conservar</w:t>
      </w:r>
      <w:r>
        <w:rPr>
          <w:rFonts w:ascii="Calibri" w:cs="Calibri" w:eastAsia="Calibri" w:hAnsi="Calibri"/>
          <w:color w:val="1F2937"/>
          <w:sz w:val="22"/>
          <w:szCs w:val="22"/>
        </w:rPr>
        <w:t xml:space="preserve"> o </w:t>
      </w:r>
      <w:r>
        <w:rPr>
          <w:rFonts w:ascii="Calibri" w:cs="Calibri" w:eastAsia="Calibri" w:hAnsi="Calibri"/>
          <w:b/>
          <w:bCs/>
          <w:color w:val="1F2937"/>
          <w:sz w:val="22"/>
          <w:szCs w:val="22"/>
        </w:rPr>
        <w:t xml:space="preserve">Conservar de todos modos</w:t>
      </w:r>
      <w:r>
        <w:rPr>
          <w:rFonts w:ascii="Calibri" w:cs="Calibri" w:eastAsia="Calibri" w:hAnsi="Calibri"/>
          <w:color w:val="1F2937"/>
          <w:sz w:val="22"/>
          <w:szCs w:val="22"/>
        </w:rPr>
        <w:t xml:space="preserve"> (la redacción varía según el navegador) para terminar la descarga.</w:t>
      </w:r>
    </w:p>
    <w:p>
      <w:pPr>
        <w:pStyle w:val="Heading3"/>
        <w:spacing w:after="120" w:before="260"/>
      </w:pPr>
      <w:r>
        <w:rPr>
          <w:rFonts w:ascii="Calibri" w:cs="Calibri" w:eastAsia="Calibri" w:hAnsi="Calibri"/>
          <w:b/>
          <w:bCs/>
          <w:color w:val="1F2937"/>
          <w:sz w:val="24"/>
          <w:szCs w:val="24"/>
        </w:rPr>
        <w:t xml:space="preserve">Windows SmartScreen: «Windows protegió su PC»</w:t>
      </w:r>
    </w:p>
    <w:p>
      <w:pPr>
        <w:spacing w:after="200" w:line="300"/>
      </w:pPr>
      <w:r>
        <w:rPr>
          <w:rFonts w:ascii="Calibri" w:cs="Calibri" w:eastAsia="Calibri" w:hAnsi="Calibri"/>
          <w:color w:val="1F2937"/>
          <w:sz w:val="22"/>
          <w:szCs w:val="22"/>
        </w:rPr>
        <w:t xml:space="preserve">Al hacer doble clic en el instalador descargado, lo más probable es que vea una pantalla azul titulada «Windows protegió su PC», que menciona una «aplicación no reconocida». Es Windows SmartScreen, y aparece con cualquier aplicación nueva que aún no tiene una reputación establecida ante Microsoft — no es una alerta de virus.</w:t>
      </w:r>
    </w:p>
    <w:p>
      <w:pPr>
        <w:pStyle w:val="ListParagraph"/>
        <w:numPr>
          <w:ilvl w:val="0"/>
          <w:numId w:val="2"/>
        </w:numPr>
        <w:spacing w:after="180" w:line="290"/>
      </w:pPr>
      <w:r>
        <w:rPr>
          <w:rFonts w:ascii="Calibri" w:cs="Calibri" w:eastAsia="Calibri" w:hAnsi="Calibri"/>
          <w:b/>
          <w:bCs/>
          <w:color w:val="1F2937"/>
          <w:sz w:val="22"/>
          <w:szCs w:val="22"/>
        </w:rPr>
        <w:t xml:space="preserve">Más información</w:t>
      </w:r>
      <w:r>
        <w:rPr>
          <w:rFonts w:ascii="Calibri" w:cs="Calibri" w:eastAsia="Calibri" w:hAnsi="Calibri"/>
          <w:color w:val="1F2937"/>
          <w:sz w:val="22"/>
          <w:szCs w:val="22"/>
        </w:rPr>
        <w:t xml:space="preserve"> — haga clic primero en este enlace dentro del cuadro azul. Todavía no haga clic en </w:t>
      </w:r>
      <w:r>
        <w:rPr>
          <w:rFonts w:ascii="Calibri" w:cs="Calibri" w:eastAsia="Calibri" w:hAnsi="Calibri"/>
          <w:b/>
          <w:bCs/>
          <w:color w:val="1F2937"/>
          <w:sz w:val="22"/>
          <w:szCs w:val="22"/>
        </w:rPr>
        <w:t xml:space="preserve">No ejecutar</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color w:val="1F2937"/>
          <w:sz w:val="22"/>
          <w:szCs w:val="22"/>
        </w:rPr>
        <w:t xml:space="preserve">El cuadro se amplía y muestra el nombre de la aplicación y el editor, y aparece un botón nuevo: </w:t>
      </w:r>
      <w:r>
        <w:rPr>
          <w:rFonts w:ascii="Calibri" w:cs="Calibri" w:eastAsia="Calibri" w:hAnsi="Calibri"/>
          <w:b/>
          <w:bCs/>
          <w:color w:val="1F2937"/>
          <w:sz w:val="22"/>
          <w:szCs w:val="22"/>
        </w:rPr>
        <w:t xml:space="preserve">Ejecutar de todas formas</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Ejecutar de todas formas</w:t>
      </w:r>
      <w:r>
        <w:rPr>
          <w:rFonts w:ascii="Calibri" w:cs="Calibri" w:eastAsia="Calibri" w:hAnsi="Calibri"/>
          <w:color w:val="1F2937"/>
          <w:sz w:val="22"/>
          <w:szCs w:val="22"/>
        </w:rPr>
        <w:t xml:space="preserve"> — haga clic para continuar. El asistente de instalación se abre con normalidad.</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Si no ve «Más información»,  </w:t>
      </w:r>
      <w:r>
        <w:rPr>
          <w:rFonts w:ascii="Calibri" w:cs="Calibri" w:eastAsia="Calibri" w:hAnsi="Calibri"/>
          <w:color w:val="4B5563"/>
          <w:sz w:val="22"/>
          <w:szCs w:val="22"/>
        </w:rPr>
        <w:t xml:space="preserve"> puede que la política de TI de su organización lo tenga bloqueado de forma centralizada. Pida a TI que apruebe el instalador o que lo añada a la lista de permitidos en la directiva de grupo o en su consola de protección de equipos.</w:t>
      </w:r>
    </w:p>
    <w:p>
      <w:pPr>
        <w:pStyle w:val="Heading3"/>
        <w:spacing w:after="120" w:before="260"/>
      </w:pPr>
      <w:r>
        <w:rPr>
          <w:rFonts w:ascii="Calibri" w:cs="Calibri" w:eastAsia="Calibri" w:hAnsi="Calibri"/>
          <w:b/>
          <w:bCs/>
          <w:color w:val="1F2937"/>
          <w:sz w:val="24"/>
          <w:szCs w:val="24"/>
        </w:rPr>
        <w:t xml:space="preserve">Si Microsoft Defender bloquea o elimina el archivo por completo</w:t>
      </w:r>
    </w:p>
    <w:p>
      <w:pPr>
        <w:spacing w:after="200" w:line="300"/>
      </w:pPr>
      <w:r>
        <w:rPr>
          <w:rFonts w:ascii="Calibri" w:cs="Calibri" w:eastAsia="Calibri" w:hAnsi="Calibri"/>
          <w:color w:val="1F2937"/>
          <w:sz w:val="22"/>
          <w:szCs w:val="22"/>
        </w:rPr>
        <w:t xml:space="preserve">Es menos frecuente que el aviso de SmartScreen anterior, pero puede ocurrir — sobre todo en un equipo con ajustes antivirus más estrictos gestionados por TI — porque el instalador incluye un entorno completo de Node.js, que algunas heurísticas antivirus tratan con especial recelo solo por lo que es capaz de hacer, no por lo que realmente hace.</w:t>
      </w:r>
    </w:p>
    <w:p>
      <w:pPr>
        <w:pStyle w:val="ListParagraph"/>
        <w:numPr>
          <w:ilvl w:val="0"/>
          <w:numId w:val="3"/>
        </w:numPr>
        <w:spacing w:after="180" w:line="290"/>
      </w:pPr>
      <w:r>
        <w:rPr>
          <w:rFonts w:ascii="Calibri" w:cs="Calibri" w:eastAsia="Calibri" w:hAnsi="Calibri"/>
          <w:color w:val="1F2937"/>
          <w:sz w:val="22"/>
          <w:szCs w:val="22"/>
        </w:rPr>
        <w:t xml:space="preserve">Abra </w:t>
      </w:r>
      <w:r>
        <w:rPr>
          <w:rFonts w:ascii="Calibri" w:cs="Calibri" w:eastAsia="Calibri" w:hAnsi="Calibri"/>
          <w:b/>
          <w:bCs/>
          <w:color w:val="1F2937"/>
          <w:sz w:val="22"/>
          <w:szCs w:val="22"/>
        </w:rPr>
        <w:t xml:space="preserve">Seguridad de Windows</w:t>
      </w:r>
      <w:r>
        <w:rPr>
          <w:rFonts w:ascii="Calibri" w:cs="Calibri" w:eastAsia="Calibri" w:hAnsi="Calibri"/>
          <w:color w:val="1F2937"/>
          <w:sz w:val="22"/>
          <w:szCs w:val="22"/>
        </w:rPr>
        <w:t xml:space="preserve"> (búsquela en el menú Inicio).</w:t>
      </w:r>
    </w:p>
    <w:p>
      <w:pPr>
        <w:pStyle w:val="ListParagraph"/>
        <w:numPr>
          <w:ilvl w:val="0"/>
          <w:numId w:val="3"/>
        </w:numPr>
        <w:spacing w:after="180" w:line="290"/>
      </w:pPr>
      <w:r>
        <w:rPr>
          <w:rFonts w:ascii="Calibri" w:cs="Calibri" w:eastAsia="Calibri" w:hAnsi="Calibri"/>
          <w:color w:val="1F2937"/>
          <w:sz w:val="22"/>
          <w:szCs w:val="22"/>
        </w:rPr>
        <w:t xml:space="preserve">Vaya a </w:t>
      </w:r>
      <w:r>
        <w:rPr>
          <w:rFonts w:ascii="Calibri" w:cs="Calibri" w:eastAsia="Calibri" w:hAnsi="Calibri"/>
          <w:b/>
          <w:bCs/>
          <w:color w:val="1F2937"/>
          <w:sz w:val="22"/>
          <w:szCs w:val="22"/>
        </w:rPr>
        <w:t xml:space="preserve">Protección antivirus y contra amenazas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Historial de protección</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Busque el instalador de TASc6 en la lista y, si se ha puesto en cuarentena o eliminado, elija </w:t>
      </w:r>
      <w:r>
        <w:rPr>
          <w:rFonts w:ascii="Calibri" w:cs="Calibri" w:eastAsia="Calibri" w:hAnsi="Calibri"/>
          <w:b/>
          <w:bCs/>
          <w:color w:val="1F2937"/>
          <w:sz w:val="22"/>
          <w:szCs w:val="22"/>
        </w:rPr>
        <w:t xml:space="preserve">Restaurar</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Si se bloquea de nuevo en la siguiente ejecución, añada una exclusión: </w:t>
      </w:r>
      <w:r>
        <w:rPr>
          <w:rFonts w:ascii="Calibri" w:cs="Calibri" w:eastAsia="Calibri" w:hAnsi="Calibri"/>
          <w:b/>
          <w:bCs/>
          <w:color w:val="1F2937"/>
          <w:sz w:val="22"/>
          <w:szCs w:val="22"/>
        </w:rPr>
        <w:t xml:space="preserve">Configuración de Protección antivirus y contra amenazas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Administrar la configuración</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Agregar o quitar exclusiones</w:t>
      </w:r>
      <w:r>
        <w:rPr>
          <w:rFonts w:ascii="Calibri" w:cs="Calibri" w:eastAsia="Calibri" w:hAnsi="Calibri"/>
          <w:color w:val="1F2937"/>
          <w:sz w:val="22"/>
          <w:szCs w:val="22"/>
        </w:rPr>
        <w:t xml:space="preserve"> → añada la carpeta en la que instala TASc6 (p. ej.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En un PC gestionado por la empresa,  </w:t>
      </w:r>
      <w:r>
        <w:rPr>
          <w:rFonts w:ascii="Calibri" w:cs="Calibri" w:eastAsia="Calibri" w:hAnsi="Calibri"/>
          <w:color w:val="4B5563"/>
          <w:sz w:val="22"/>
          <w:szCs w:val="22"/>
        </w:rPr>
        <w:t xml:space="preserve"> estos ajustes pueden estar controlados de forma centralizada y aparecer atenuados — TI tendrá que hacer este cambio o aprobar el instalador por usted.</w:t>
      </w:r>
    </w:p>
    <w:p>
      <w:pPr>
        <w:pStyle w:val="Heading2"/>
        <w:spacing w:after="160" w:before="360"/>
      </w:pPr>
      <w:r>
        <w:rPr>
          <w:rFonts w:ascii="Calibri" w:cs="Calibri" w:eastAsia="Calibri" w:hAnsi="Calibri"/>
          <w:b/>
          <w:bCs/>
          <w:color w:val="1F2937"/>
          <w:sz w:val="27"/>
          <w:szCs w:val="27"/>
        </w:rPr>
        <w:t xml:space="preserve">2.5 Permitir TASc6 en el Firewall de Windows</w:t>
      </w:r>
    </w:p>
    <w:p>
      <w:pPr>
        <w:spacing w:after="200" w:line="300"/>
      </w:pPr>
      <w:r>
        <w:rPr>
          <w:rFonts w:ascii="Calibri" w:cs="Calibri" w:eastAsia="Calibri" w:hAnsi="Calibri"/>
          <w:color w:val="1F2937"/>
          <w:sz w:val="22"/>
          <w:szCs w:val="22"/>
        </w:rPr>
        <w:t xml:space="preserve">Este paso importa más que los dos anteriores: todos los demás ordenadores y tabletas de su sitio acceden a TASc6 por la red, así que, si el Firewall de Windows lo bloquea, TASc6 funcionará perfectamente en el propio equipo anfitrión mientras nadie más en el sitio puede conectarse — un síntoma desconcertante si no se sabe dónde mirar.</w:t>
      </w:r>
    </w:p>
    <w:p>
      <w:pPr>
        <w:spacing w:after="200" w:line="300"/>
      </w:pPr>
      <w:r>
        <w:rPr>
          <w:rFonts w:ascii="Calibri" w:cs="Calibri" w:eastAsia="Calibri" w:hAnsi="Calibri"/>
          <w:color w:val="1F2937"/>
          <w:sz w:val="22"/>
          <w:szCs w:val="22"/>
        </w:rPr>
        <w:t xml:space="preserve">La primera vez que arranca TASc6, Windows suele mostrar un aviso titulado «El Firewall de Windows Defender ha bloqueado algunas características de esta aplicación», que menciona Node.js.</w:t>
      </w:r>
    </w:p>
    <w:p>
      <w:pPr>
        <w:pStyle w:val="ListParagraph"/>
        <w:numPr>
          <w:ilvl w:val="0"/>
          <w:numId w:val="4"/>
        </w:numPr>
        <w:spacing w:after="180" w:line="290"/>
      </w:pPr>
      <w:r>
        <w:rPr>
          <w:rFonts w:ascii="Calibri" w:cs="Calibri" w:eastAsia="Calibri" w:hAnsi="Calibri"/>
          <w:color w:val="1F2937"/>
          <w:sz w:val="22"/>
          <w:szCs w:val="22"/>
        </w:rPr>
        <w:t xml:space="preserve">Marque </w:t>
      </w:r>
      <w:r>
        <w:rPr>
          <w:rFonts w:ascii="Calibri" w:cs="Calibri" w:eastAsia="Calibri" w:hAnsi="Calibri"/>
          <w:b/>
          <w:bCs/>
          <w:color w:val="1F2937"/>
          <w:sz w:val="22"/>
          <w:szCs w:val="22"/>
        </w:rPr>
        <w:t xml:space="preserve">Redes privadas</w:t>
      </w:r>
      <w:r>
        <w:rPr>
          <w:rFonts w:ascii="Calibri" w:cs="Calibri" w:eastAsia="Calibri" w:hAnsi="Calibri"/>
          <w:color w:val="1F2937"/>
          <w:sz w:val="22"/>
          <w:szCs w:val="22"/>
        </w:rPr>
        <w:t xml:space="preserve"> (y también </w:t>
      </w:r>
      <w:r>
        <w:rPr>
          <w:rFonts w:ascii="Calibri" w:cs="Calibri" w:eastAsia="Calibri" w:hAnsi="Calibri"/>
          <w:b/>
          <w:bCs/>
          <w:color w:val="1F2937"/>
          <w:sz w:val="22"/>
          <w:szCs w:val="22"/>
        </w:rPr>
        <w:t xml:space="preserve">Redes públicas</w:t>
      </w:r>
      <w:r>
        <w:rPr>
          <w:rFonts w:ascii="Calibri" w:cs="Calibri" w:eastAsia="Calibri" w:hAnsi="Calibri"/>
          <w:color w:val="1F2937"/>
          <w:sz w:val="22"/>
          <w:szCs w:val="22"/>
        </w:rPr>
        <w:t xml:space="preserve">, si la red de su sitio está definida como Pública en Windows).</w:t>
      </w:r>
    </w:p>
    <w:p>
      <w:pPr>
        <w:pStyle w:val="ListParagraph"/>
        <w:numPr>
          <w:ilvl w:val="0"/>
          <w:numId w:val="4"/>
        </w:numPr>
        <w:spacing w:after="180" w:line="290"/>
      </w:pPr>
      <w:r>
        <w:rPr>
          <w:rFonts w:ascii="Calibri" w:cs="Calibri" w:eastAsia="Calibri" w:hAnsi="Calibri"/>
          <w:color w:val="1F2937"/>
          <w:sz w:val="22"/>
          <w:szCs w:val="22"/>
        </w:rPr>
        <w:t xml:space="preserve">Haga clic en </w:t>
      </w:r>
      <w:r>
        <w:rPr>
          <w:rFonts w:ascii="Calibri" w:cs="Calibri" w:eastAsia="Calibri" w:hAnsi="Calibri"/>
          <w:b/>
          <w:bCs/>
          <w:color w:val="1F2937"/>
          <w:sz w:val="22"/>
          <w:szCs w:val="22"/>
        </w:rPr>
        <w:t xml:space="preserve">Permitir acceso</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Si ese aviso se pasó por alto, se cerró o se respondió «Cancelar» por error, corríjalo después:</w:t>
      </w:r>
    </w:p>
    <w:p>
      <w:pPr>
        <w:pStyle w:val="ListParagraph"/>
        <w:numPr>
          <w:ilvl w:val="0"/>
          <w:numId w:val="5"/>
        </w:numPr>
        <w:spacing w:after="180" w:line="290"/>
      </w:pPr>
      <w:r>
        <w:rPr>
          <w:rFonts w:ascii="Calibri" w:cs="Calibri" w:eastAsia="Calibri" w:hAnsi="Calibri"/>
          <w:color w:val="1F2937"/>
          <w:sz w:val="22"/>
          <w:szCs w:val="22"/>
        </w:rPr>
        <w:t xml:space="preserve">Abra </w:t>
      </w:r>
      <w:r>
        <w:rPr>
          <w:rFonts w:ascii="Calibri" w:cs="Calibri" w:eastAsia="Calibri" w:hAnsi="Calibri"/>
          <w:b/>
          <w:bCs/>
          <w:color w:val="1F2937"/>
          <w:sz w:val="22"/>
          <w:szCs w:val="22"/>
        </w:rPr>
        <w:t xml:space="preserve">Seguridad de Windows</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Firewall y protección de red</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Permitir una aplicación a través del firewall</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Haga clic en </w:t>
      </w:r>
      <w:r>
        <w:rPr>
          <w:rFonts w:ascii="Calibri" w:cs="Calibri" w:eastAsia="Calibri" w:hAnsi="Calibri"/>
          <w:b/>
          <w:bCs/>
          <w:color w:val="1F2937"/>
          <w:sz w:val="22"/>
          <w:szCs w:val="22"/>
        </w:rPr>
        <w:t xml:space="preserve">Cambiar la configuración</w:t>
      </w:r>
      <w:r>
        <w:rPr>
          <w:rFonts w:ascii="Calibri" w:cs="Calibri" w:eastAsia="Calibri" w:hAnsi="Calibri"/>
          <w:color w:val="1F2937"/>
          <w:sz w:val="22"/>
          <w:szCs w:val="22"/>
        </w:rPr>
        <w:t xml:space="preserve"> (requiere derechos de administrador), busque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en la lista — o haga clic en </w:t>
      </w:r>
      <w:r>
        <w:rPr>
          <w:rFonts w:ascii="Calibri" w:cs="Calibri" w:eastAsia="Calibri" w:hAnsi="Calibri"/>
          <w:b/>
          <w:bCs/>
          <w:color w:val="1F2937"/>
          <w:sz w:val="22"/>
          <w:szCs w:val="22"/>
        </w:rPr>
        <w:t xml:space="preserve">Permitir otra aplicación…</w:t>
      </w:r>
      <w:r>
        <w:rPr>
          <w:rFonts w:ascii="Calibri" w:cs="Calibri" w:eastAsia="Calibri" w:hAnsi="Calibri"/>
          <w:color w:val="1F2937"/>
          <w:sz w:val="22"/>
          <w:szCs w:val="22"/>
        </w:rPr>
        <w:t xml:space="preserve"> y vaya a node\node.exe dentro de la carpeta de instalación de TASc6 si no aparece.</w:t>
      </w:r>
    </w:p>
    <w:p>
      <w:pPr>
        <w:pStyle w:val="ListParagraph"/>
        <w:numPr>
          <w:ilvl w:val="0"/>
          <w:numId w:val="5"/>
        </w:numPr>
        <w:spacing w:after="180" w:line="290"/>
      </w:pPr>
      <w:r>
        <w:rPr>
          <w:rFonts w:ascii="Calibri" w:cs="Calibri" w:eastAsia="Calibri" w:hAnsi="Calibri"/>
          <w:color w:val="1F2937"/>
          <w:sz w:val="22"/>
          <w:szCs w:val="22"/>
        </w:rPr>
        <w:t xml:space="preserve">Marque </w:t>
      </w:r>
      <w:r>
        <w:rPr>
          <w:rFonts w:ascii="Calibri" w:cs="Calibri" w:eastAsia="Calibri" w:hAnsi="Calibri"/>
          <w:b/>
          <w:bCs/>
          <w:color w:val="1F2937"/>
          <w:sz w:val="22"/>
          <w:szCs w:val="22"/>
        </w:rPr>
        <w:t xml:space="preserve">Privada</w:t>
      </w:r>
      <w:r>
        <w:rPr>
          <w:rFonts w:ascii="Calibri" w:cs="Calibri" w:eastAsia="Calibri" w:hAnsi="Calibri"/>
          <w:color w:val="1F2937"/>
          <w:sz w:val="22"/>
          <w:szCs w:val="22"/>
        </w:rPr>
        <w:t xml:space="preserve"> y </w:t>
      </w:r>
      <w:r>
        <w:rPr>
          <w:rFonts w:ascii="Calibri" w:cs="Calibri" w:eastAsia="Calibri" w:hAnsi="Calibri"/>
          <w:b/>
          <w:bCs/>
          <w:color w:val="1F2937"/>
          <w:sz w:val="22"/>
          <w:szCs w:val="22"/>
        </w:rPr>
        <w:t xml:space="preserve">Pública</w:t>
      </w:r>
      <w:r>
        <w:rPr>
          <w:rFonts w:ascii="Calibri" w:cs="Calibri" w:eastAsia="Calibri" w:hAnsi="Calibri"/>
          <w:color w:val="1F2937"/>
          <w:sz w:val="22"/>
          <w:szCs w:val="22"/>
        </w:rPr>
        <w:t xml:space="preserve"> y haga clic en </w:t>
      </w:r>
      <w:r>
        <w:rPr>
          <w:rFonts w:ascii="Calibri" w:cs="Calibri" w:eastAsia="Calibri" w:hAnsi="Calibri"/>
          <w:b/>
          <w:bCs/>
          <w:color w:val="1F2937"/>
          <w:sz w:val="22"/>
          <w:szCs w:val="22"/>
        </w:rPr>
        <w:t xml:space="preserve">Aceptar</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Primer inicio</w:t>
      </w:r>
    </w:p>
    <w:p>
      <w:pPr>
        <w:spacing w:after="200" w:line="300"/>
      </w:pPr>
      <w:r>
        <w:rPr>
          <w:rFonts w:ascii="Calibri" w:cs="Calibri" w:eastAsia="Calibri" w:hAnsi="Calibri"/>
          <w:color w:val="1F2937"/>
          <w:sz w:val="22"/>
          <w:szCs w:val="22"/>
        </w:rPr>
        <w:t xml:space="preserve">Una vez instalado, TASc6 se ejecuta discretamente en segundo plano y muestra un pequeño icono en la bandeja del sistema de Windows (junto al reloj). Haga clic derecho en él para Start, Stop y un enlace para abrir TASc6 en su navegador.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Déjelo en marcha.  </w:t>
      </w:r>
      <w:r>
        <w:rPr>
          <w:rFonts w:ascii="Calibri" w:cs="Calibri" w:eastAsia="Calibri" w:hAnsi="Calibri"/>
          <w:color w:val="4B5563"/>
          <w:sz w:val="22"/>
          <w:szCs w:val="22"/>
        </w:rPr>
        <w:t xml:space="preserve"> El equipo anfitrión debe seguir encendido para que todos los demás en el sitio lleguen a TASc6 — consulte el capítulo 3 para ver cómo encaja en la red de su sitio.</w:t>
      </w:r>
    </w:p>
    <w:p>
      <w:pPr>
        <w:spacing w:after="200" w:line="300"/>
      </w:pPr>
      <w:r>
        <w:rPr>
          <w:rFonts w:ascii="Calibri" w:cs="Calibri" w:eastAsia="Calibri" w:hAnsi="Calibri"/>
          <w:color w:val="1F2937"/>
          <w:sz w:val="22"/>
          <w:szCs w:val="22"/>
        </w:rPr>
        <w:t xml:space="preserve">Abra un navegador en el equipo anfitrión y vaya a http://localhost:3000 para iniciar sesión por primera vez.</w:t>
      </w:r>
    </w:p>
    <w:p>
      <w:pPr>
        <w:pStyle w:val="Heading2"/>
        <w:spacing w:after="160" w:before="360"/>
      </w:pPr>
      <w:r>
        <w:rPr>
          <w:rFonts w:ascii="Calibri" w:cs="Calibri" w:eastAsia="Calibri" w:hAnsi="Calibri"/>
          <w:b/>
          <w:bCs/>
          <w:color w:val="1F2937"/>
          <w:sz w:val="27"/>
          <w:szCs w:val="27"/>
        </w:rPr>
        <w:t xml:space="preserve">2.7 Activar su licencia</w:t>
      </w:r>
    </w:p>
    <w:p>
      <w:pPr>
        <w:spacing w:after="200" w:line="300"/>
      </w:pPr>
      <w:r>
        <w:rPr>
          <w:rFonts w:ascii="Calibri" w:cs="Calibri" w:eastAsia="Calibri" w:hAnsi="Calibri"/>
          <w:color w:val="1F2937"/>
          <w:sz w:val="22"/>
          <w:szCs w:val="22"/>
        </w:rPr>
        <w:t xml:space="preserve">TASc6 funciona como una prueba completa de 14 días sin nada que desbloquear. Cuando esté listo para comprar, visite la página de licencias con el ID de instalación que aparece en http://localhost:3000/activate en el equipo anfitrión. Pegue la clave que reciba en esa misma página para activarla — esto desbloquea TASc6 durante un año completo.</w:t>
      </w:r>
    </w:p>
    <w:p>
      <w:pPr>
        <w:spacing w:after="200" w:line="300"/>
      </w:pPr>
      <w:r>
        <w:rPr>
          <w:rFonts w:ascii="Calibri" w:cs="Calibri" w:eastAsia="Calibri" w:hAnsi="Calibri"/>
          <w:color w:val="1F2937"/>
          <w:sz w:val="22"/>
          <w:szCs w:val="22"/>
        </w:rPr>
        <w:t xml:space="preserve">¿Necesita ayuda para instalar? Escriba a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y le guiaremos.</w:t>
      </w:r>
    </w:p>
    <w:p>
      <w:pPr>
        <w:pStyle w:val="Heading2"/>
        <w:spacing w:after="160" w:before="360"/>
      </w:pPr>
      <w:r>
        <w:rPr>
          <w:rFonts w:ascii="Calibri" w:cs="Calibri" w:eastAsia="Calibri" w:hAnsi="Calibri"/>
          <w:b/>
          <w:bCs/>
          <w:color w:val="1F2937"/>
          <w:sz w:val="27"/>
          <w:szCs w:val="27"/>
        </w:rPr>
        <w:t xml:space="preserve">2.8 Desinstalar o reinstalar</w:t>
      </w:r>
    </w:p>
    <w:p>
      <w:pPr>
        <w:spacing w:after="200" w:line="300"/>
      </w:pPr>
      <w:r>
        <w:rPr>
          <w:rFonts w:ascii="Calibri" w:cs="Calibri" w:eastAsia="Calibri" w:hAnsi="Calibri"/>
          <w:color w:val="1F2937"/>
          <w:sz w:val="22"/>
          <w:szCs w:val="22"/>
        </w:rPr>
        <w:t xml:space="preserve">Cierre TASc6 desde el icono de la bandeja (Stop) antes de desinstalar o reinstalar. Si Windows dice más tarde que un archivo de base de datos o de programa está «en uso» aunque haya desinstalado, una copia de Node.js de TASc6 sigue ejecutándose en segundo plano — abra el Administrador de tareas, vaya a la pestaña Detalles y finalice cualquier proceso node.exe antes de volver a intentarlo.</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Configurar su sitio</w:t>
      </w:r>
    </w:p>
    <w:p>
      <w:pPr>
        <w:spacing w:after="200" w:line="300"/>
      </w:pPr>
      <w:r>
        <w:rPr>
          <w:rFonts w:ascii="Calibri" w:cs="Calibri" w:eastAsia="Calibri" w:hAnsi="Calibri"/>
          <w:color w:val="1F2937"/>
          <w:sz w:val="22"/>
          <w:szCs w:val="22"/>
        </w:rPr>
        <w:t xml:space="preserve">TASc6 es un único sistema en directo que se consulta desde cualquier punto del sitio. Que funcione bien depende más de su red y de la disposición de los dispositivos que del propio software.</w:t>
      </w:r>
    </w:p>
    <w:p>
      <w:pPr>
        <w:pStyle w:val="Heading2"/>
        <w:spacing w:after="160" w:before="360"/>
      </w:pPr>
      <w:r>
        <w:rPr>
          <w:rFonts w:ascii="Calibri" w:cs="Calibri" w:eastAsia="Calibri" w:hAnsi="Calibri"/>
          <w:b/>
          <w:bCs/>
          <w:color w:val="1F2937"/>
          <w:sz w:val="27"/>
          <w:szCs w:val="27"/>
        </w:rPr>
        <w:t xml:space="preserve">3.1 La disposición básica</w:t>
      </w:r>
    </w:p>
    <w:p>
      <w:pPr>
        <w:spacing w:after="200" w:line="300"/>
      </w:pPr>
      <w:r>
        <w:rPr>
          <w:rFonts w:ascii="Calibri" w:cs="Calibri" w:eastAsia="Calibri" w:hAnsi="Calibri"/>
          <w:b/>
          <w:bCs/>
          <w:color w:val="1F2937"/>
          <w:sz w:val="22"/>
          <w:szCs w:val="22"/>
        </w:rPr>
        <w:t xml:space="preserve">El equipo anfitrión.</w:t>
      </w:r>
      <w:r>
        <w:rPr>
          <w:rFonts w:ascii="Calibri" w:cs="Calibri" w:eastAsia="Calibri" w:hAnsi="Calibri"/>
          <w:color w:val="1F2937"/>
          <w:sz w:val="22"/>
          <w:szCs w:val="22"/>
        </w:rPr>
        <w:t xml:space="preserve"> Un ordenador o servidor Windows ejecuta el instalador de TASc6 y permanece encendido — es con él con quien hablan todos los demás dispositivos del sitio. No necesita ser potente; necesita ser fiable y estar siempre en marcha.</w:t>
      </w:r>
    </w:p>
    <w:p>
      <w:pPr>
        <w:spacing w:after="200" w:line="300"/>
      </w:pPr>
      <w:r>
        <w:rPr>
          <w:rFonts w:ascii="Calibri" w:cs="Calibri" w:eastAsia="Calibri" w:hAnsi="Calibri"/>
          <w:b/>
          <w:bCs/>
          <w:color w:val="1F2937"/>
          <w:sz w:val="22"/>
          <w:szCs w:val="22"/>
        </w:rPr>
        <w:t xml:space="preserve">La red.</w:t>
      </w:r>
      <w:r>
        <w:rPr>
          <w:rFonts w:ascii="Calibri" w:cs="Calibri" w:eastAsia="Calibri" w:hAnsi="Calibri"/>
          <w:color w:val="1F2937"/>
          <w:sz w:val="22"/>
          <w:szCs w:val="22"/>
        </w:rPr>
        <w:t xml:space="preserve"> Ese anfitrión, y cada ordenador y tableta que deba llegar a él, deben estar en la misma red — idealmente una VLAN dedicada, separada del tráfico general de oficina y de invitados, para que las operaciones del depósito no compitan con el ruido habitual de la red.</w:t>
      </w:r>
    </w:p>
    <w:p>
      <w:pPr>
        <w:pStyle w:val="Heading2"/>
        <w:spacing w:after="160" w:before="360"/>
      </w:pPr>
      <w:r>
        <w:rPr>
          <w:rFonts w:ascii="Calibri" w:cs="Calibri" w:eastAsia="Calibri" w:hAnsi="Calibri"/>
          <w:b/>
          <w:bCs/>
          <w:color w:val="1F2937"/>
          <w:sz w:val="27"/>
          <w:szCs w:val="27"/>
        </w:rPr>
        <w:t xml:space="preserve">3.2 Dispositivos por rol</w:t>
      </w:r>
    </w:p>
    <w:p>
      <w:pPr>
        <w:spacing w:after="200" w:line="300"/>
      </w:pPr>
      <w:r>
        <w:rPr>
          <w:rFonts w:ascii="Calibri" w:cs="Calibri" w:eastAsia="Calibri" w:hAnsi="Calibri"/>
          <w:b/>
          <w:bCs/>
          <w:color w:val="1F2937"/>
          <w:sz w:val="22"/>
          <w:szCs w:val="22"/>
        </w:rPr>
        <w:t xml:space="preserve">Ordenadores —</w:t>
      </w:r>
      <w:r>
        <w:rPr>
          <w:rFonts w:ascii="Calibri" w:cs="Calibri" w:eastAsia="Calibri" w:hAnsi="Calibri"/>
          <w:color w:val="1F2937"/>
          <w:sz w:val="22"/>
          <w:szCs w:val="22"/>
        </w:rPr>
        <w:t xml:space="preserve"> Los responsables de carga, Fleet, Admin, Planner y VMU trabajan en un puesto fijo, así que basta un ordenador de sobremesa o portátil en la red de oficina, por cable o wifi. Cada uno simplemente abre un navegador apuntando al equipo anfitrión.</w:t>
      </w:r>
    </w:p>
    <w:p>
      <w:pPr>
        <w:spacing w:after="200" w:line="300"/>
      </w:pPr>
      <w:r>
        <w:rPr>
          <w:rFonts w:ascii="Calibri" w:cs="Calibri" w:eastAsia="Calibri" w:hAnsi="Calibri"/>
          <w:b/>
          <w:bCs/>
          <w:color w:val="1F2937"/>
          <w:sz w:val="22"/>
          <w:szCs w:val="22"/>
        </w:rPr>
        <w:t xml:space="preserve">Tabletas —</w:t>
      </w:r>
      <w:r>
        <w:rPr>
          <w:rFonts w:ascii="Calibri" w:cs="Calibri" w:eastAsia="Calibri" w:hAnsi="Calibri"/>
          <w:color w:val="1F2937"/>
          <w:sz w:val="22"/>
          <w:szCs w:val="22"/>
        </w:rPr>
        <w:t xml:space="preserve"> Los Shunters se mueven por el depósito, no están sentados en un escritorio, así que su pantalla es una tableta montada en la cabina del tractor. Se conecta igual que un ordenador — por wifi en lugar de cable — y por eso la cobertura en todo el depósito importa tanto para este rol en particular.</w:t>
      </w:r>
    </w:p>
    <w:p>
      <w:pPr>
        <w:pStyle w:val="ListParagraph"/>
        <w:numPr>
          <w:ilvl w:val="0"/>
          <w:numId w:val="6"/>
        </w:numPr>
        <w:spacing w:after="120" w:line="290"/>
      </w:pPr>
      <w:r>
        <w:rPr>
          <w:rFonts w:ascii="Calibri" w:cs="Calibri" w:eastAsia="Calibri" w:hAnsi="Calibri"/>
          <w:color w:val="1F2937"/>
          <w:sz w:val="22"/>
          <w:szCs w:val="22"/>
        </w:rPr>
        <w:t xml:space="preserve">Idealmente de 15,6″ o más</w:t>
      </w:r>
    </w:p>
    <w:p>
      <w:pPr>
        <w:pStyle w:val="ListParagraph"/>
        <w:numPr>
          <w:ilvl w:val="0"/>
          <w:numId w:val="6"/>
        </w:numPr>
        <w:spacing w:after="120" w:line="290"/>
      </w:pPr>
      <w:r>
        <w:rPr>
          <w:rFonts w:ascii="Calibri" w:cs="Calibri" w:eastAsia="Calibri" w:hAnsi="Calibri"/>
          <w:color w:val="1F2937"/>
          <w:sz w:val="22"/>
          <w:szCs w:val="22"/>
        </w:rPr>
        <w:t xml:space="preserve">Las tabletas Android reducidas a mostrar solo TASc6 funcionan bien — vale cualquier equipo con navegador y wifi</w:t>
      </w:r>
    </w:p>
    <w:p>
      <w:pPr>
        <w:pStyle w:val="ListParagraph"/>
        <w:numPr>
          <w:ilvl w:val="0"/>
          <w:numId w:val="6"/>
        </w:numPr>
        <w:spacing w:after="120" w:line="290"/>
      </w:pPr>
      <w:r>
        <w:rPr>
          <w:rFonts w:ascii="Calibri" w:cs="Calibri" w:eastAsia="Calibri" w:hAnsi="Calibri"/>
          <w:color w:val="1F2937"/>
          <w:sz w:val="22"/>
          <w:szCs w:val="22"/>
        </w:rPr>
        <w:t xml:space="preserve">Necesita señal en todos los sitios por donde pasa el tractor, no solo cerca de la oficina</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Cobertura inalámbrica.  </w:t>
      </w:r>
      <w:r>
        <w:rPr>
          <w:rFonts w:ascii="Calibri" w:cs="Calibri" w:eastAsia="Calibri" w:hAnsi="Calibri"/>
          <w:color w:val="4B5563"/>
          <w:sz w:val="22"/>
          <w:szCs w:val="22"/>
        </w:rPr>
        <w:t xml:space="preserve"> Como los Shunters ven TASc6 desde un vehículo en movimiento, una wifi irregular en cualquier punto del sitio se nota enseguida como una pantalla que se corta en un tractor. Puntos de acceso aptos para exterior, ubicados para cubrir toda la superficie del depósito — puertas, zonas de carga, los rincones más lejanos — son lo que lo hace fiable. Es mucho más fácil estudiar y ubicar bien los puntos de acceso desde el principio que perseguir una zona sin cobertura cuando los Shunters ya dependen de ella. Si no sabe cuántos necesita su depósito, merece la pena un estudio del sitio por parte de su instalador de redes.</w:t>
      </w:r>
    </w:p>
    <w:p>
      <w:pPr>
        <w:pStyle w:val="Heading2"/>
        <w:spacing w:after="160" w:before="360"/>
      </w:pPr>
      <w:r>
        <w:rPr>
          <w:rFonts w:ascii="Calibri" w:cs="Calibri" w:eastAsia="Calibri" w:hAnsi="Calibri"/>
          <w:b/>
          <w:bCs/>
          <w:color w:val="1F2937"/>
          <w:sz w:val="27"/>
          <w:szCs w:val="27"/>
        </w:rPr>
        <w:t xml:space="preserve">3.3 Paso a paso</w:t>
      </w:r>
    </w:p>
    <w:p>
      <w:pPr>
        <w:pStyle w:val="ListParagraph"/>
        <w:numPr>
          <w:ilvl w:val="0"/>
          <w:numId w:val="7"/>
        </w:numPr>
        <w:spacing w:after="180" w:line="290"/>
      </w:pPr>
      <w:r>
        <w:rPr>
          <w:rFonts w:ascii="Calibri" w:cs="Calibri" w:eastAsia="Calibri" w:hAnsi="Calibri"/>
          <w:color w:val="1F2937"/>
          <w:sz w:val="22"/>
          <w:szCs w:val="22"/>
        </w:rPr>
        <w:t xml:space="preserve">Preparar la red — configure una VLAN dedicada al tráfico de TASc6, separada de la wifi general de oficina y de invitados.</w:t>
      </w:r>
    </w:p>
    <w:p>
      <w:pPr>
        <w:pStyle w:val="ListParagraph"/>
        <w:numPr>
          <w:ilvl w:val="0"/>
          <w:numId w:val="7"/>
        </w:numPr>
        <w:spacing w:after="180" w:line="290"/>
      </w:pPr>
      <w:r>
        <w:rPr>
          <w:rFonts w:ascii="Calibri" w:cs="Calibri" w:eastAsia="Calibri" w:hAnsi="Calibri"/>
          <w:color w:val="1F2937"/>
          <w:sz w:val="22"/>
          <w:szCs w:val="22"/>
        </w:rPr>
        <w:t xml:space="preserve">Ubicar los puntos de acceso inalámbricos — instale puntos de acceso exteriores que cubran toda la superficie del depósito, unidos a esa misma VLAN. Después recorra a pie o en vehículo todo el depósito para comprobar que no hay zonas sin cobertura en ninguna ruta que vaya a seguir realmente un tractor.</w:t>
      </w:r>
    </w:p>
    <w:p>
      <w:pPr>
        <w:pStyle w:val="ListParagraph"/>
        <w:numPr>
          <w:ilvl w:val="0"/>
          <w:numId w:val="7"/>
        </w:numPr>
        <w:spacing w:after="180" w:line="290"/>
      </w:pPr>
      <w:r>
        <w:rPr>
          <w:rFonts w:ascii="Calibri" w:cs="Calibri" w:eastAsia="Calibri" w:hAnsi="Calibri"/>
          <w:color w:val="1F2937"/>
          <w:sz w:val="22"/>
          <w:szCs w:val="22"/>
        </w:rPr>
        <w:t xml:space="preserve">Elegir el equipo anfitrión — un equipo con Windows 10, 11 o Server, de sobremesa o un servidor pequeño. Conéctelo por cable si es posible y déjelo encendido.</w:t>
      </w:r>
    </w:p>
    <w:p>
      <w:pPr>
        <w:pStyle w:val="ListParagraph"/>
        <w:numPr>
          <w:ilvl w:val="0"/>
          <w:numId w:val="7"/>
        </w:numPr>
        <w:spacing w:after="180" w:line="290"/>
      </w:pPr>
      <w:r>
        <w:rPr>
          <w:rFonts w:ascii="Calibri" w:cs="Calibri" w:eastAsia="Calibri" w:hAnsi="Calibri"/>
          <w:color w:val="1F2937"/>
          <w:sz w:val="22"/>
          <w:szCs w:val="22"/>
        </w:rPr>
        <w:t xml:space="preserve">Descargar y ejecutar el instalador — véase el capítulo 2.</w:t>
      </w:r>
    </w:p>
    <w:p>
      <w:pPr>
        <w:pStyle w:val="ListParagraph"/>
        <w:numPr>
          <w:ilvl w:val="0"/>
          <w:numId w:val="7"/>
        </w:numPr>
        <w:spacing w:after="180" w:line="290"/>
      </w:pPr>
      <w:r>
        <w:rPr>
          <w:rFonts w:ascii="Calibri" w:cs="Calibri" w:eastAsia="Calibri" w:hAnsi="Calibri"/>
          <w:color w:val="1F2937"/>
          <w:sz w:val="22"/>
          <w:szCs w:val="22"/>
        </w:rPr>
        <w:t xml:space="preserve">Dar al equipo anfitrión una dirección fija — una IP estática o una reserva DHCP en su router, para que su dirección nunca cambie. Todos los demás dispositivos del sitio apuntan a esta dirección.</w:t>
      </w:r>
    </w:p>
    <w:p>
      <w:pPr>
        <w:pStyle w:val="ListParagraph"/>
        <w:numPr>
          <w:ilvl w:val="0"/>
          <w:numId w:val="7"/>
        </w:numPr>
        <w:spacing w:after="180" w:line="290"/>
      </w:pPr>
      <w:r>
        <w:rPr>
          <w:rFonts w:ascii="Calibri" w:cs="Calibri" w:eastAsia="Calibri" w:hAnsi="Calibri"/>
          <w:color w:val="1F2937"/>
          <w:sz w:val="22"/>
          <w:szCs w:val="22"/>
        </w:rPr>
        <w:t xml:space="preserve">Conectar los ordenadores de oficina — en cada ordenador de responsable de carga, Fleet, Admin, Planner o VMU, abra un navegador con la dirección del equipo anfitrión (p. ej. http://192.168.x.x:3000), inicie sesión con la cuenta de ese rol y guárdela en favoritos.</w:t>
      </w:r>
    </w:p>
    <w:p>
      <w:pPr>
        <w:pStyle w:val="ListParagraph"/>
        <w:numPr>
          <w:ilvl w:val="0"/>
          <w:numId w:val="7"/>
        </w:numPr>
        <w:spacing w:after="180" w:line="290"/>
      </w:pPr>
      <w:r>
        <w:rPr>
          <w:rFonts w:ascii="Calibri" w:cs="Calibri" w:eastAsia="Calibri" w:hAnsi="Calibri"/>
          <w:color w:val="1F2937"/>
          <w:sz w:val="22"/>
          <w:szCs w:val="22"/>
        </w:rPr>
        <w:t xml:space="preserve">Conectar y montar las tabletas — conecte cada tableta a la wifi del depósito, abra un navegador con la misma dirección del anfitrión, inicie sesión con la cuenta Shunter y monte la tableta en la cabina del tractor.</w:t>
      </w:r>
    </w:p>
    <w:p>
      <w:pPr>
        <w:pStyle w:val="ListParagraph"/>
        <w:numPr>
          <w:ilvl w:val="0"/>
          <w:numId w:val="7"/>
        </w:numPr>
        <w:spacing w:after="180" w:line="290"/>
      </w:pPr>
      <w:r>
        <w:rPr>
          <w:rFonts w:ascii="Calibri" w:cs="Calibri" w:eastAsia="Calibri" w:hAnsi="Calibri"/>
          <w:color w:val="1F2937"/>
          <w:sz w:val="22"/>
          <w:szCs w:val="22"/>
        </w:rPr>
        <w:t xml:space="preserve">Recorrer el sitio antes de la puesta en marcha — conduzca un tractor por todo el depósito con una tableta en funcionamiento, comprobando que la conexión se mantiene en todos los puntos donde trabajará un Shunter, no solo cerca de la oficina.</w:t>
      </w:r>
    </w:p>
    <w:p>
      <w:pPr>
        <w:pStyle w:val="ListParagraph"/>
        <w:numPr>
          <w:ilvl w:val="0"/>
          <w:numId w:val="7"/>
        </w:numPr>
        <w:spacing w:after="180" w:line="290"/>
      </w:pPr>
      <w:r>
        <w:rPr>
          <w:rFonts w:ascii="Calibri" w:cs="Calibri" w:eastAsia="Calibri" w:hAnsi="Calibri"/>
          <w:color w:val="1F2937"/>
          <w:sz w:val="22"/>
          <w:szCs w:val="22"/>
        </w:rPr>
        <w:t xml:space="preserve">Activar su licencia — véase el capítulo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¿Planifica un despliegue en varios sitios?  </w:t>
      </w:r>
      <w:r>
        <w:rPr>
          <w:rFonts w:ascii="Calibri" w:cs="Calibri" w:eastAsia="Calibri" w:hAnsi="Calibri"/>
          <w:color w:val="4B5563"/>
          <w:sz w:val="22"/>
          <w:szCs w:val="22"/>
        </w:rPr>
        <w:t xml:space="preserve"> Escriba a info@tasc6.net y le ayudaremos a planificar la red y los dispositivos antes de que compre nada.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Primeros pasos</w:t>
      </w:r>
    </w:p>
    <w:p>
      <w:pPr>
        <w:pStyle w:val="Heading2"/>
        <w:spacing w:after="160" w:before="360"/>
      </w:pPr>
      <w:r>
        <w:rPr>
          <w:rFonts w:ascii="Calibri" w:cs="Calibri" w:eastAsia="Calibri" w:hAnsi="Calibri"/>
          <w:b/>
          <w:bCs/>
          <w:color w:val="1F2937"/>
          <w:sz w:val="27"/>
          <w:szCs w:val="27"/>
        </w:rPr>
        <w:t xml:space="preserve">4.1 Inicio de sesión</w:t>
      </w:r>
    </w:p>
    <w:p>
      <w:pPr>
        <w:spacing w:after="200" w:line="300"/>
      </w:pPr>
      <w:r>
        <w:rPr>
          <w:rFonts w:ascii="Calibri" w:cs="Calibri" w:eastAsia="Calibri" w:hAnsi="Calibri"/>
          <w:color w:val="1F2937"/>
          <w:sz w:val="22"/>
          <w:szCs w:val="22"/>
        </w:rPr>
        <w:t xml:space="preserve">Todos los usuarios inician sesión con un nombre de usuario, una contraseña y un sitio. Su administrador crea su cuenta y le indica su nombre de usuario, su contraseña inicial y los sitios en los que puede iniciar sesión.</w:t>
      </w:r>
    </w:p>
    <w:p>
      <w:pPr>
        <w:pStyle w:val="Heading2"/>
        <w:spacing w:after="160" w:before="360"/>
      </w:pPr>
      <w:r>
        <w:rPr>
          <w:rFonts w:ascii="Calibri" w:cs="Calibri" w:eastAsia="Calibri" w:hAnsi="Calibri"/>
          <w:b/>
          <w:bCs/>
          <w:color w:val="1F2937"/>
          <w:sz w:val="27"/>
          <w:szCs w:val="27"/>
        </w:rPr>
        <w:t xml:space="preserve">4.2 Orientarse</w:t>
      </w:r>
    </w:p>
    <w:p>
      <w:pPr>
        <w:spacing w:after="200" w:line="300"/>
      </w:pPr>
      <w:r>
        <w:rPr>
          <w:rFonts w:ascii="Calibri" w:cs="Calibri" w:eastAsia="Calibri" w:hAnsi="Calibri"/>
          <w:color w:val="1F2937"/>
          <w:sz w:val="22"/>
          <w:szCs w:val="22"/>
        </w:rPr>
        <w:t xml:space="preserve">Una vez iniciada la sesión, llega a la única pantalla creada para su rol — no hay menús que buscar. Admin, Planner y Fleet son los únicos roles con más de una página, porque son los únicos que alguna vez lo necesitan.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Todo se actualiza en directo.  </w:t>
      </w:r>
      <w:r>
        <w:rPr>
          <w:rFonts w:ascii="Calibri" w:cs="Calibri" w:eastAsia="Calibri" w:hAnsi="Calibri"/>
          <w:color w:val="4B5563"/>
          <w:sz w:val="22"/>
          <w:szCs w:val="22"/>
        </w:rPr>
        <w:t xml:space="preserve"> Si alguien registra un remolque en la puerta, asigna un conductor o completa un muelle, su pantalla se actualiza sola en uno o dos segundos — nunca necesita recargar.</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configura todo con lo que trabajan los demás roles día a día. Está organizado en pestañas: Dashboard, Trailers, Trucks, Drivers, Users, Bays, Bay Restrictions, Backups, Sites, Trailer Types, Configurations, Audit Log y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Un resumen de un vistazo: total de remolques, total de usuarios, remolques actualmente activos y cuántos movimientos están pendientes ahora mismo en el depósito.</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Añada, renombre o elimine sitios (solo las instalaciones Multi Site necesitan más de uno). Cada sitio puede llevar un Default Haulier (transportista predeterminado) — si lo define, rellena de antemano el campo Haulier de las pantallas de puerta de entrada y salida de Security para ese sitio, evitando que Security escriba el mismo transportista en cada evento de puerta. Es solo un valor inicial; Security siempre puede sustituirlo para una carga concreta.</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Código de sitio.  </w:t>
      </w:r>
      <w:r>
        <w:rPr>
          <w:rFonts w:ascii="Calibri" w:cs="Calibri" w:eastAsia="Calibri" w:hAnsi="Calibri"/>
          <w:color w:val="4B5563"/>
          <w:sz w:val="22"/>
          <w:szCs w:val="22"/>
        </w:rPr>
        <w:t xml:space="preserve"> Se elige al crear el sitio y no se puede cambiar después, ya que otros registros (remolques, muelles, usuarios) hacen referencia directa a él. Solo se pueden editar más adelante el nombre del sitio y el transportista predeterminado.</w:t>
      </w:r>
    </w:p>
    <w:p>
      <w:pPr>
        <w:pStyle w:val="Heading2"/>
        <w:spacing w:after="160" w:before="360"/>
      </w:pPr>
      <w:r>
        <w:rPr>
          <w:rFonts w:ascii="Calibri" w:cs="Calibri" w:eastAsia="Calibri" w:hAnsi="Calibri"/>
          <w:b/>
          <w:bCs/>
          <w:color w:val="1F2937"/>
          <w:sz w:val="27"/>
          <w:szCs w:val="27"/>
        </w:rPr>
        <w:t xml:space="preserve">5.3 Tipos y configuraciones de remolque</w:t>
      </w:r>
    </w:p>
    <w:p>
      <w:pPr>
        <w:spacing w:after="200" w:line="300"/>
      </w:pPr>
      <w:r>
        <w:rPr>
          <w:rFonts w:ascii="Calibri" w:cs="Calibri" w:eastAsia="Calibri" w:hAnsi="Calibri"/>
          <w:color w:val="1F2937"/>
          <w:sz w:val="22"/>
          <w:szCs w:val="22"/>
        </w:rPr>
        <w:t xml:space="preserve">Los Trailer Types (p. ej. «Lona corredera de 13,6 m») y las Configurations describen qué es un remolque, para planificación y restricciones. Ambos permiten añadir, editar y eliminar desde su propia pestaña.</w:t>
      </w:r>
    </w:p>
    <w:p>
      <w:pPr>
        <w:pStyle w:val="Heading2"/>
        <w:spacing w:after="160" w:before="360"/>
      </w:pPr>
      <w:r>
        <w:rPr>
          <w:rFonts w:ascii="Calibri" w:cs="Calibri" w:eastAsia="Calibri" w:hAnsi="Calibri"/>
          <w:b/>
          <w:bCs/>
          <w:color w:val="1F2937"/>
          <w:sz w:val="27"/>
          <w:szCs w:val="27"/>
        </w:rPr>
        <w:t xml:space="preserve">5.4 Remolques</w:t>
      </w:r>
    </w:p>
    <w:p>
      <w:pPr>
        <w:spacing w:after="200" w:line="300"/>
      </w:pPr>
      <w:r>
        <w:rPr>
          <w:rFonts w:ascii="Calibri" w:cs="Calibri" w:eastAsia="Calibri" w:hAnsi="Calibri"/>
          <w:color w:val="1F2937"/>
          <w:sz w:val="22"/>
          <w:szCs w:val="22"/>
        </w:rPr>
        <w:t xml:space="preserve">La lista completa de remolques de todos los sitios: número, sitio, tipo, estado, muelle actual y ruta. Añada aquí un remolque nuevo, edite su tipo/configuración o elimínelo.</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Eliminar un remolque.  </w:t>
      </w:r>
      <w:r>
        <w:rPr>
          <w:rFonts w:ascii="Calibri" w:cs="Calibri" w:eastAsia="Calibri" w:hAnsi="Calibri"/>
          <w:color w:val="4B5563"/>
          <w:sz w:val="22"/>
          <w:szCs w:val="22"/>
        </w:rPr>
        <w:t xml:space="preserve"> Todas las demás entidades (usuarios, camiones, muelles, sitios) se eliminan definitivamente al quitarlas. Los remolques son la única excepción — quitar un remolque lo marca como inactivo en lugar de borrarlo, porque el historial de movimientos, los registros de puerta y los registros de entrega suelen seguir haciendo referencia a él. Es intencionado, no un error.</w:t>
      </w:r>
    </w:p>
    <w:p>
      <w:pPr>
        <w:pStyle w:val="Heading2"/>
        <w:spacing w:after="160" w:before="360"/>
      </w:pPr>
      <w:r>
        <w:rPr>
          <w:rFonts w:ascii="Calibri" w:cs="Calibri" w:eastAsia="Calibri" w:hAnsi="Calibri"/>
          <w:b/>
          <w:bCs/>
          <w:color w:val="1F2937"/>
          <w:sz w:val="27"/>
          <w:szCs w:val="27"/>
        </w:rPr>
        <w:t xml:space="preserve">5.5 Camiones y conductores</w:t>
      </w:r>
    </w:p>
    <w:p>
      <w:pPr>
        <w:spacing w:after="200" w:line="300"/>
      </w:pPr>
      <w:r>
        <w:rPr>
          <w:rFonts w:ascii="Calibri" w:cs="Calibri" w:eastAsia="Calibri" w:hAnsi="Calibri"/>
          <w:color w:val="1F2937"/>
          <w:sz w:val="22"/>
          <w:szCs w:val="22"/>
        </w:rPr>
        <w:t xml:space="preserve">Añada, edite y quite camiones (matrícula, sitio de origen) y conductores (nombre, teléfono, número de carné, sitio de origen). Ambos funcionan con la misma edición directa que el resto de Admin.</w:t>
      </w:r>
    </w:p>
    <w:p>
      <w:pPr>
        <w:pStyle w:val="Heading2"/>
        <w:spacing w:after="160" w:before="360"/>
      </w:pPr>
      <w:r>
        <w:rPr>
          <w:rFonts w:ascii="Calibri" w:cs="Calibri" w:eastAsia="Calibri" w:hAnsi="Calibri"/>
          <w:b/>
          <w:bCs/>
          <w:color w:val="1F2937"/>
          <w:sz w:val="27"/>
          <w:szCs w:val="27"/>
        </w:rPr>
        <w:t xml:space="preserve">5.6 Muelles y restricciones de muelles</w:t>
      </w:r>
    </w:p>
    <w:p>
      <w:pPr>
        <w:spacing w:after="200" w:line="300"/>
      </w:pPr>
      <w:r>
        <w:rPr>
          <w:rFonts w:ascii="Calibri" w:cs="Calibri" w:eastAsia="Calibri" w:hAnsi="Calibri"/>
          <w:color w:val="1F2937"/>
          <w:sz w:val="22"/>
          <w:szCs w:val="22"/>
        </w:rPr>
        <w:t xml:space="preserve">Bays lista cada muelle de cada sitio — número, zona (p. ej. INTAKE, FROZEN, CHILL, DEKIT), posición en la cuadrícula, estado y si está activo. Al editar un muelle puede cambiar su zona, su posición en la cuadrícula, su estado y su orden de visualización; el sitio y el número del muelle quedan fijos una vez creado, porque son la identidad del muelle.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El campo Area.  </w:t>
      </w:r>
      <w:r>
        <w:rPr>
          <w:rFonts w:ascii="Calibri" w:cs="Calibri" w:eastAsia="Calibri" w:hAnsi="Calibri"/>
          <w:color w:val="4B5563"/>
          <w:sz w:val="22"/>
          <w:szCs w:val="22"/>
        </w:rPr>
        <w:t xml:space="preserve"> Es texto libre, no una lista fija — el texto de ejemplo sugiere LOADING, INTAKE, FREEZER, CHILL o DEKIT. Escriba los muelles Dekit exactamente como DEKIT, de forma coherente en todo su sitio, para que Loader, Dekit y Shunter los reconozcan igual (el sistema no distingue mayúsculas, pero mantener una nomenclatura propia coherente evita confusiones en su equipo).</w:t>
      </w:r>
    </w:p>
    <w:p>
      <w:pPr>
        <w:spacing w:after="200" w:line="300"/>
      </w:pPr>
      <w:r>
        <w:rPr>
          <w:rFonts w:ascii="Calibri" w:cs="Calibri" w:eastAsia="Calibri" w:hAnsi="Calibri"/>
          <w:color w:val="1F2937"/>
          <w:sz w:val="22"/>
          <w:szCs w:val="22"/>
        </w:rPr>
        <w:t xml:space="preserve">Las Bay Restrictions le permiten limitar qué tipos de remolque pueden ir en un rango de muelles — útil cuando, por ejemplo, solo ciertos números de muelle pueden alojar físicamente un remolque de 13,6 m. Las restricciones se pueden filtrar por prefijo del número de remolque además de por tipo, y se pueden desactivar sin eliminarlas.</w:t>
      </w:r>
    </w:p>
    <w:p>
      <w:pPr>
        <w:pStyle w:val="Heading2"/>
        <w:spacing w:after="160" w:before="360"/>
      </w:pPr>
      <w:r>
        <w:rPr>
          <w:rFonts w:ascii="Calibri" w:cs="Calibri" w:eastAsia="Calibri" w:hAnsi="Calibri"/>
          <w:b/>
          <w:bCs/>
          <w:color w:val="1F2937"/>
          <w:sz w:val="27"/>
          <w:szCs w:val="27"/>
        </w:rPr>
        <w:t xml:space="preserve">5.7 Usuarios</w:t>
      </w:r>
    </w:p>
    <w:p>
      <w:pPr>
        <w:spacing w:after="200" w:line="300"/>
      </w:pPr>
      <w:r>
        <w:rPr>
          <w:rFonts w:ascii="Calibri" w:cs="Calibri" w:eastAsia="Calibri" w:hAnsi="Calibri"/>
          <w:color w:val="1F2937"/>
          <w:sz w:val="22"/>
          <w:szCs w:val="22"/>
        </w:rPr>
        <w:t xml:space="preserve">Cree, edite y desactive cuentas de usuario: nombre de usuario, rol, sitio de origen y activo/inactivo. Al editar un usuario puede cambiar su rol, su sitio de origen y su estado activo; se puede establecer una contraseña nueva desde la misma pantalla en cualquier momento. El nombre de usuario en sí no se puede cambiar una vez creado.</w:t>
      </w:r>
    </w:p>
    <w:p>
      <w:pPr>
        <w:pStyle w:val="Heading2"/>
        <w:spacing w:after="160" w:before="360"/>
      </w:pPr>
      <w:r>
        <w:rPr>
          <w:rFonts w:ascii="Calibri" w:cs="Calibri" w:eastAsia="Calibri" w:hAnsi="Calibri"/>
          <w:b/>
          <w:bCs/>
          <w:color w:val="1F2937"/>
          <w:sz w:val="27"/>
          <w:szCs w:val="27"/>
        </w:rPr>
        <w:t xml:space="preserve">5.8 Backups</w:t>
      </w:r>
    </w:p>
    <w:p>
      <w:pPr>
        <w:spacing w:after="200" w:line="300"/>
      </w:pPr>
      <w:r>
        <w:rPr>
          <w:rFonts w:ascii="Calibri" w:cs="Calibri" w:eastAsia="Calibri" w:hAnsi="Calibri"/>
          <w:color w:val="1F2937"/>
          <w:sz w:val="22"/>
          <w:szCs w:val="22"/>
        </w:rPr>
        <w:t xml:space="preserve">Defina una carpeta de copias y un periodo de retención para la base de datos, y vea cuándo se ejecutaron la última copia y la siguiente programada. Una copia semanal se ejecuta junto a la copia regular de la base de datos, cada una con su propio ajuste de retención.</w:t>
      </w:r>
    </w:p>
    <w:p>
      <w:pPr>
        <w:pStyle w:val="Heading2"/>
        <w:spacing w:after="160" w:before="360"/>
      </w:pPr>
      <w:r>
        <w:rPr>
          <w:rFonts w:ascii="Calibri" w:cs="Calibri" w:eastAsia="Calibri" w:hAnsi="Calibri"/>
          <w:b/>
          <w:bCs/>
          <w:color w:val="1F2937"/>
          <w:sz w:val="27"/>
          <w:szCs w:val="27"/>
        </w:rPr>
        <w:t xml:space="preserve">5.9 Audit Log</w:t>
      </w:r>
    </w:p>
    <w:p>
      <w:pPr>
        <w:spacing w:after="200" w:line="300"/>
      </w:pPr>
      <w:r>
        <w:rPr>
          <w:rFonts w:ascii="Calibri" w:cs="Calibri" w:eastAsia="Calibri" w:hAnsi="Calibri"/>
          <w:color w:val="1F2937"/>
          <w:sz w:val="22"/>
          <w:szCs w:val="22"/>
        </w:rPr>
        <w:t xml:space="preserve">Un registro continuo de quién hizo qué y cuándo — cada creación, edición, eliminación y evento de puerta del sistema, con el nombre de usuario, la marca de tiempo, el sitio y los detalles.</w:t>
      </w:r>
    </w:p>
    <w:p>
      <w:pPr>
        <w:pStyle w:val="Heading2"/>
        <w:spacing w:after="160" w:before="360"/>
      </w:pPr>
      <w:r>
        <w:rPr>
          <w:rFonts w:ascii="Calibri" w:cs="Calibri" w:eastAsia="Calibri" w:hAnsi="Calibri"/>
          <w:b/>
          <w:bCs/>
          <w:color w:val="1F2937"/>
          <w:sz w:val="27"/>
          <w:szCs w:val="27"/>
        </w:rPr>
        <w:t xml:space="preserve">5.10 System</w:t>
      </w:r>
    </w:p>
    <w:p>
      <w:pPr>
        <w:spacing w:after="200" w:line="300"/>
      </w:pPr>
      <w:r>
        <w:rPr>
          <w:rFonts w:ascii="Calibri" w:cs="Calibri" w:eastAsia="Calibri" w:hAnsi="Calibri"/>
          <w:color w:val="1F2937"/>
          <w:sz w:val="22"/>
          <w:szCs w:val="22"/>
        </w:rPr>
        <w:t xml:space="preserve">Información de diagnóstico de solo lectura — versiones de Node.js y SQLite, entorno, tiempo de actividad del servidor y hora del servidor — útil al notificar una incidencia a soporte.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se organiza en tres pestañas: Delivery Sites, Restrictions y Route Allocation.</w:t>
      </w:r>
    </w:p>
    <w:p>
      <w:pPr>
        <w:pStyle w:val="Heading2"/>
        <w:spacing w:after="160" w:before="360"/>
      </w:pPr>
      <w:r>
        <w:rPr>
          <w:rFonts w:ascii="Calibri" w:cs="Calibri" w:eastAsia="Calibri" w:hAnsi="Calibri"/>
          <w:b/>
          <w:bCs/>
          <w:color w:val="1F2937"/>
          <w:sz w:val="27"/>
          <w:szCs w:val="27"/>
        </w:rPr>
        <w:t xml:space="preserve">6.1 Delivery Sites</w:t>
      </w:r>
    </w:p>
    <w:p>
      <w:pPr>
        <w:spacing w:after="200" w:line="300"/>
      </w:pPr>
      <w:r>
        <w:rPr>
          <w:rFonts w:ascii="Calibri" w:cs="Calibri" w:eastAsia="Calibri" w:hAnsi="Calibri"/>
          <w:color w:val="1F2937"/>
          <w:sz w:val="22"/>
          <w:szCs w:val="22"/>
        </w:rPr>
        <w:t xml:space="preserve">La lista de destinos de entrega a los que se pueden dirigir los remolques — cada uno con número, nombre y las restricciones que le afectan (véase 6.2). Busque, añada, edite y desactive puntos de entrega desde esta pestaña.</w:t>
      </w:r>
    </w:p>
    <w:p>
      <w:pPr>
        <w:pStyle w:val="Heading2"/>
        <w:spacing w:after="160" w:before="360"/>
      </w:pPr>
      <w:r>
        <w:rPr>
          <w:rFonts w:ascii="Calibri" w:cs="Calibri" w:eastAsia="Calibri" w:hAnsi="Calibri"/>
          <w:b/>
          <w:bCs/>
          <w:color w:val="1F2937"/>
          <w:sz w:val="27"/>
          <w:szCs w:val="27"/>
        </w:rPr>
        <w:t xml:space="preserve">6.2 Restrictions</w:t>
      </w:r>
    </w:p>
    <w:p>
      <w:pPr>
        <w:spacing w:after="200" w:line="300"/>
      </w:pPr>
      <w:r>
        <w:rPr>
          <w:rFonts w:ascii="Calibri" w:cs="Calibri" w:eastAsia="Calibri" w:hAnsi="Calibri"/>
          <w:color w:val="1F2937"/>
          <w:sz w:val="22"/>
          <w:szCs w:val="22"/>
        </w:rPr>
        <w:t xml:space="preserve">Una restricción es una etiqueta (p. ej. «Sin vehículos articulados») que puede asociar a un punto de entrega, junto con los tipos de remolque que aun así pueden ir allí. Las restricciones se pueden desactivar sin eliminarlas, y un punto de entrega puede llevar varias a la vez.</w:t>
      </w:r>
    </w:p>
    <w:p>
      <w:pPr>
        <w:pStyle w:val="Heading2"/>
        <w:spacing w:after="160" w:before="360"/>
      </w:pPr>
      <w:r>
        <w:rPr>
          <w:rFonts w:ascii="Calibri" w:cs="Calibri" w:eastAsia="Calibri" w:hAnsi="Calibri"/>
          <w:b/>
          <w:bCs/>
          <w:color w:val="1F2937"/>
          <w:sz w:val="27"/>
          <w:szCs w:val="27"/>
        </w:rPr>
        <w:t xml:space="preserve">6.3 Route Allocation</w:t>
      </w:r>
    </w:p>
    <w:p>
      <w:pPr>
        <w:spacing w:after="200" w:line="300"/>
      </w:pPr>
      <w:r>
        <w:rPr>
          <w:rFonts w:ascii="Calibri" w:cs="Calibri" w:eastAsia="Calibri" w:hAnsi="Calibri"/>
          <w:color w:val="1F2937"/>
          <w:sz w:val="22"/>
          <w:szCs w:val="22"/>
        </w:rPr>
        <w:t xml:space="preserve">Construya una ruta para una fecha y un número de ruta dados añadiendo puntos de entrega en orden, reordenando las paradas con las flechas arriba/abajo y quitando las que no correspondan. Los números de ruta vuelven a 001 cada día; use New Route para obtener automáticamente el siguiente número libre de la fecha seleccionada.</w:t>
      </w:r>
    </w:p>
    <w:p>
      <w:pPr>
        <w:spacing w:after="200" w:line="300"/>
      </w:pPr>
      <w:r>
        <w:rPr>
          <w:rFonts w:ascii="Calibri" w:cs="Calibri" w:eastAsia="Calibri" w:hAnsi="Calibri"/>
          <w:b/>
          <w:bCs/>
          <w:color w:val="1F2937"/>
          <w:sz w:val="22"/>
          <w:szCs w:val="22"/>
        </w:rPr>
        <w:t xml:space="preserve">Completar una ruta.</w:t>
      </w:r>
      <w:r>
        <w:rPr>
          <w:rFonts w:ascii="Calibri" w:cs="Calibri" w:eastAsia="Calibri" w:hAnsi="Calibri"/>
          <w:color w:val="1F2937"/>
          <w:sz w:val="22"/>
          <w:szCs w:val="22"/>
        </w:rPr>
        <w:t xml:space="preserve"> Marque una ruta como Completed una vez realizada, o Reopen si hay que cambiarla después — la insignia de estado y los botones reflejan el estado en que se encuentre.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La pantalla de Loader muestra el mapa de muelles del sitio junto a un panel Available Trailers — arrastre un remolque del panel a un muelle para asignarlo.</w:t>
      </w:r>
    </w:p>
    <w:p>
      <w:pPr>
        <w:pStyle w:val="Heading2"/>
        <w:spacing w:after="160" w:before="360"/>
      </w:pPr>
      <w:r>
        <w:rPr>
          <w:rFonts w:ascii="Calibri" w:cs="Calibri" w:eastAsia="Calibri" w:hAnsi="Calibri"/>
          <w:b/>
          <w:bCs/>
          <w:color w:val="1F2937"/>
          <w:sz w:val="27"/>
          <w:szCs w:val="27"/>
        </w:rPr>
        <w:t xml:space="preserve">7.1 Remolques disponibles</w:t>
      </w:r>
    </w:p>
    <w:p>
      <w:pPr>
        <w:spacing w:after="200" w:line="300"/>
      </w:pPr>
      <w:r>
        <w:rPr>
          <w:rFonts w:ascii="Calibri" w:cs="Calibri" w:eastAsia="Calibri" w:hAnsi="Calibri"/>
          <w:color w:val="1F2937"/>
          <w:sz w:val="22"/>
          <w:szCs w:val="22"/>
        </w:rPr>
        <w:t xml:space="preserve">Los remolques se agrupan en un orden fijo, de modo que el caso más común esté siempre arriba:</w:t>
      </w:r>
    </w:p>
    <w:p>
      <w:pPr>
        <w:pStyle w:val="ListParagraph"/>
        <w:numPr>
          <w:ilvl w:val="0"/>
          <w:numId w:val="8"/>
        </w:numPr>
        <w:spacing w:after="180" w:line="290"/>
      </w:pPr>
      <w:r>
        <w:rPr>
          <w:rFonts w:ascii="Calibri" w:cs="Calibri" w:eastAsia="Calibri" w:hAnsi="Calibri"/>
          <w:color w:val="1F2937"/>
          <w:sz w:val="22"/>
          <w:szCs w:val="22"/>
        </w:rPr>
        <w:t xml:space="preserve">Empty available — nada que pensar, simplemente cárguelo</w:t>
      </w:r>
    </w:p>
    <w:p>
      <w:pPr>
        <w:pStyle w:val="ListParagraph"/>
        <w:numPr>
          <w:ilvl w:val="0"/>
          <w:numId w:val="8"/>
        </w:numPr>
        <w:spacing w:after="180" w:line="290"/>
      </w:pPr>
      <w:r>
        <w:rPr>
          <w:rFonts w:ascii="Calibri" w:cs="Calibri" w:eastAsia="Calibri" w:hAnsi="Calibri"/>
          <w:color w:val="1F2937"/>
          <w:sz w:val="22"/>
          <w:szCs w:val="22"/>
        </w:rPr>
        <w:t xml:space="preserve">Dekit — necesita pasar por Dekit antes de poder cargarse</w:t>
      </w:r>
    </w:p>
    <w:p>
      <w:pPr>
        <w:pStyle w:val="ListParagraph"/>
        <w:numPr>
          <w:ilvl w:val="0"/>
          <w:numId w:val="8"/>
        </w:numPr>
        <w:spacing w:after="180" w:line="290"/>
      </w:pPr>
      <w:r>
        <w:rPr>
          <w:rFonts w:ascii="Calibri" w:cs="Calibri" w:eastAsia="Calibri" w:hAnsi="Calibri"/>
          <w:color w:val="1F2937"/>
          <w:sz w:val="22"/>
          <w:szCs w:val="22"/>
        </w:rPr>
        <w:t xml:space="preserve">Return delivery — necesita la atención de Dekit antes de poder cargarse</w:t>
      </w:r>
    </w:p>
    <w:p>
      <w:pPr>
        <w:pStyle w:val="ListParagraph"/>
        <w:numPr>
          <w:ilvl w:val="0"/>
          <w:numId w:val="8"/>
        </w:numPr>
        <w:spacing w:after="180" w:line="290"/>
      </w:pPr>
      <w:r>
        <w:rPr>
          <w:rFonts w:ascii="Calibri" w:cs="Calibri" w:eastAsia="Calibri" w:hAnsi="Calibri"/>
          <w:color w:val="1F2937"/>
          <w:sz w:val="22"/>
          <w:szCs w:val="22"/>
        </w:rPr>
        <w:t xml:space="preserve">Loaded returning — aún lleva una carga real sin entregar</w:t>
      </w:r>
    </w:p>
    <w:p>
      <w:pPr>
        <w:spacing w:after="200" w:line="300"/>
      </w:pPr>
      <w:r>
        <w:rPr>
          <w:rFonts w:ascii="Calibri" w:cs="Calibri" w:eastAsia="Calibri" w:hAnsi="Calibri"/>
          <w:color w:val="1F2937"/>
          <w:sz w:val="22"/>
          <w:szCs w:val="22"/>
        </w:rPr>
        <w:t xml:space="preserve">Cada tarjeta muestra el número del remolque, su tipo y — cuando procede — una segunda línea que indica lo que lleva:</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Etiqueta</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Significado</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Necesita pasar por Dekit — solo se puede asignar a un muelle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Lleva devoluciones de tienda — solo se puede asignar a un muelle Dekit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Aún lleva esa categoría de producto sin entregar</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Lleva más de una de las categorías Frozen/Chill/Ambient/Xdock a la vez</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Los remolques Dekit y Returns  </w:t>
      </w:r>
      <w:r>
        <w:rPr>
          <w:rFonts w:ascii="Calibri" w:cs="Calibri" w:eastAsia="Calibri" w:hAnsi="Calibri"/>
          <w:color w:val="4B5563"/>
          <w:sz w:val="22"/>
          <w:szCs w:val="22"/>
        </w:rPr>
        <w:t xml:space="preserve"> solo se pueden soltar en un muelle de la zona Dekit — el sistema rechaza soltarlos en cualquier otro muelle, lo intente quien lo intente.</w:t>
      </w:r>
    </w:p>
    <w:p>
      <w:pPr>
        <w:pStyle w:val="Heading2"/>
        <w:spacing w:after="160" w:before="360"/>
      </w:pPr>
      <w:r>
        <w:rPr>
          <w:rFonts w:ascii="Calibri" w:cs="Calibri" w:eastAsia="Calibri" w:hAnsi="Calibri"/>
          <w:b/>
          <w:bCs/>
          <w:color w:val="1F2937"/>
          <w:sz w:val="27"/>
          <w:szCs w:val="27"/>
        </w:rPr>
        <w:t xml:space="preserve">7.2 Asignar un remolque</w:t>
      </w:r>
    </w:p>
    <w:p>
      <w:pPr>
        <w:spacing w:after="200" w:line="300"/>
      </w:pPr>
      <w:r>
        <w:rPr>
          <w:rFonts w:ascii="Calibri" w:cs="Calibri" w:eastAsia="Calibri" w:hAnsi="Calibri"/>
          <w:color w:val="1F2937"/>
          <w:sz w:val="22"/>
          <w:szCs w:val="22"/>
        </w:rPr>
        <w:t xml:space="preserve">Arrastre una tarjeta de remolque a un muelle. Lo que ocurra después depende de lo que lleve el remolque:</w:t>
      </w:r>
    </w:p>
    <w:p>
      <w:pPr>
        <w:pStyle w:val="ListParagraph"/>
        <w:numPr>
          <w:ilvl w:val="0"/>
          <w:numId w:val="9"/>
        </w:numPr>
        <w:spacing w:after="180" w:line="290"/>
      </w:pPr>
      <w:r>
        <w:rPr>
          <w:rFonts w:ascii="Calibri" w:cs="Calibri" w:eastAsia="Calibri" w:hAnsi="Calibri"/>
          <w:color w:val="1F2937"/>
          <w:sz w:val="22"/>
          <w:szCs w:val="22"/>
        </w:rPr>
        <w:t xml:space="preserve">Un remolque simple y vacío — se le pide el número de ruta de esta carga (o déjelo en blanco para colocar el remolque sin ruta por ahora).</w:t>
      </w:r>
    </w:p>
    <w:p>
      <w:pPr>
        <w:pStyle w:val="ListParagraph"/>
        <w:numPr>
          <w:ilvl w:val="0"/>
          <w:numId w:val="9"/>
        </w:numPr>
        <w:spacing w:after="180" w:line="290"/>
      </w:pPr>
      <w:r>
        <w:rPr>
          <w:rFonts w:ascii="Calibri" w:cs="Calibri" w:eastAsia="Calibri" w:hAnsi="Calibri"/>
          <w:color w:val="1F2937"/>
          <w:sz w:val="22"/>
          <w:szCs w:val="22"/>
        </w:rPr>
        <w:t xml:space="preserve">Un remolque Frozen/Chill/Ambient/Xdock (o Mixed) — primero se le pregunta «Reload it now?». Responda Yes para asignar un número de ruta como siempre; responda No para colocar el remolque en el muelle sin ruta, para que se descargue primero.</w:t>
      </w:r>
    </w:p>
    <w:p>
      <w:pPr>
        <w:pStyle w:val="ListParagraph"/>
        <w:numPr>
          <w:ilvl w:val="0"/>
          <w:numId w:val="9"/>
        </w:numPr>
        <w:spacing w:after="180" w:line="290"/>
      </w:pPr>
      <w:r>
        <w:rPr>
          <w:rFonts w:ascii="Calibri" w:cs="Calibri" w:eastAsia="Calibri" w:hAnsi="Calibri"/>
          <w:color w:val="1F2937"/>
          <w:sz w:val="22"/>
          <w:szCs w:val="22"/>
        </w:rPr>
        <w:t xml:space="preserve">Un remolque Dekit o Returns, soltado en un muelle Dekit — no se pide ningún número de ruta; simplemente se coloca allí para que Dekit lo procese.</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Solo Loader  </w:t>
      </w:r>
      <w:r>
        <w:rPr>
          <w:rFonts w:ascii="Calibri" w:cs="Calibri" w:eastAsia="Calibri" w:hAnsi="Calibri"/>
          <w:color w:val="4B5563"/>
          <w:sz w:val="22"/>
          <w:szCs w:val="22"/>
        </w:rPr>
        <w:t xml:space="preserve"> puede asignar un muelle a un remolque que aún lleva producto Frozen/Chill/Ambient/Xdock — Dekit y Shunter no pueden hacerlo, por diseño.</w:t>
      </w:r>
    </w:p>
    <w:p>
      <w:pPr>
        <w:pStyle w:val="Heading2"/>
        <w:spacing w:after="160" w:before="360"/>
      </w:pPr>
      <w:r>
        <w:rPr>
          <w:rFonts w:ascii="Calibri" w:cs="Calibri" w:eastAsia="Calibri" w:hAnsi="Calibri"/>
          <w:b/>
          <w:bCs/>
          <w:color w:val="1F2937"/>
          <w:sz w:val="27"/>
          <w:szCs w:val="27"/>
        </w:rPr>
        <w:t xml:space="preserve">7.3 Una vez que el remolque está en un muelle</w:t>
      </w:r>
    </w:p>
    <w:p>
      <w:pPr>
        <w:spacing w:after="200" w:line="300"/>
      </w:pPr>
      <w:r>
        <w:rPr>
          <w:rFonts w:ascii="Calibri" w:cs="Calibri" w:eastAsia="Calibri" w:hAnsi="Calibri"/>
          <w:color w:val="1F2937"/>
          <w:sz w:val="22"/>
          <w:szCs w:val="22"/>
        </w:rPr>
        <w:t xml:space="preserve">Un remolque en un muelle de carga normal muestra dos botones: Complete (cuando termina la carga) y Move To (pedir a un Shunter que lo mueva a otro sitio).</w:t>
      </w:r>
    </w:p>
    <w:p>
      <w:pPr>
        <w:spacing w:after="200" w:line="300"/>
      </w:pPr>
      <w:r>
        <w:rPr>
          <w:rFonts w:ascii="Calibri" w:cs="Calibri" w:eastAsia="Calibri" w:hAnsi="Calibri"/>
          <w:color w:val="1F2937"/>
          <w:sz w:val="22"/>
          <w:szCs w:val="22"/>
        </w:rPr>
        <w:t xml:space="preserve">Un remolque que Dekit acaba de vaciar — todavía en su muelle Dekit — muestra Move To y Park up en lugar de Complete, ya que no hay nada que «completar» hasta que se vuelva a cargar:</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reutiliza la solicitud de movimiento normal — elija un muelle de destino y un Shunter lo realiza.</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pide a un Shunter que simplemente retire el remolque de su muelle y lo deje inactivo y disponible, sin ningún muelle de destino concreto.</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vacía los remolques que volvieron de una ruta con embalajes antiguos (Dekit) o devoluciones de tienda sin vender (Return delivery), para que puedan volver al uso general.</w:t>
      </w:r>
    </w:p>
    <w:p>
      <w:pPr>
        <w:pStyle w:val="Heading2"/>
        <w:spacing w:after="160" w:before="360"/>
      </w:pPr>
      <w:r>
        <w:rPr>
          <w:rFonts w:ascii="Calibri" w:cs="Calibri" w:eastAsia="Calibri" w:hAnsi="Calibri"/>
          <w:b/>
          <w:bCs/>
          <w:color w:val="1F2937"/>
          <w:sz w:val="27"/>
          <w:szCs w:val="27"/>
        </w:rPr>
        <w:t xml:space="preserve">8.1 Remolques disponibles</w:t>
      </w:r>
    </w:p>
    <w:p>
      <w:pPr>
        <w:spacing w:after="200" w:line="300"/>
      </w:pPr>
      <w:r>
        <w:rPr>
          <w:rFonts w:ascii="Calibri" w:cs="Calibri" w:eastAsia="Calibri" w:hAnsi="Calibri"/>
          <w:color w:val="1F2937"/>
          <w:sz w:val="22"/>
          <w:szCs w:val="22"/>
        </w:rPr>
        <w:t xml:space="preserve">La lista propia de Dekit solo muestra lo que realmente es trabajo de Dekit, en este orden:</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Los remolques vacíos también aparecen aquí — no porque necesiten pasar por Dekit, sino para que Dekit pueda cargar uno con embalajes o palés para transferir a otro sitio usando los mismos muelles. Los remolques que aún llevan una carga real sin entregar (Frozen/Chill/Ambient/Xdock) nunca aparecen en esta pantalla — eso es responsabilidad de Loader (capítulo 7).</w:t>
      </w:r>
    </w:p>
    <w:p>
      <w:pPr>
        <w:pStyle w:val="Heading2"/>
        <w:spacing w:after="160" w:before="360"/>
      </w:pPr>
      <w:r>
        <w:rPr>
          <w:rFonts w:ascii="Calibri" w:cs="Calibri" w:eastAsia="Calibri" w:hAnsi="Calibri"/>
          <w:b/>
          <w:bCs/>
          <w:color w:val="1F2937"/>
          <w:sz w:val="27"/>
          <w:szCs w:val="27"/>
        </w:rPr>
        <w:t xml:space="preserve">8.2 Procesar un remolque</w:t>
      </w:r>
    </w:p>
    <w:p>
      <w:pPr>
        <w:spacing w:after="200" w:line="300"/>
      </w:pPr>
      <w:r>
        <w:rPr>
          <w:rFonts w:ascii="Calibri" w:cs="Calibri" w:eastAsia="Calibri" w:hAnsi="Calibri"/>
          <w:color w:val="1F2937"/>
          <w:sz w:val="22"/>
          <w:szCs w:val="22"/>
        </w:rPr>
        <w:t xml:space="preserve">Arrastre un remolque a un muelle Dekit, igual que Loader asigna un muelle de carga. Cuando esté físicamente vacío, haga clic en Complete — esto borra su etiqueta de mercancía, pero lo deja en el muelle. Después es decisión de Loader qué ocurre con él: reutilizarlo allí mismo (Move To) o que un Shunter lo aparque inactivo y disponible (véase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funciona en una tableta montada en la cabina del tractor y muestra el mapa en directo del depósito de su sitio.</w:t>
      </w:r>
    </w:p>
    <w:p>
      <w:pPr>
        <w:pStyle w:val="Heading2"/>
        <w:spacing w:after="160" w:before="360"/>
      </w:pPr>
      <w:r>
        <w:rPr>
          <w:rFonts w:ascii="Calibri" w:cs="Calibri" w:eastAsia="Calibri" w:hAnsi="Calibri"/>
          <w:b/>
          <w:bCs/>
          <w:color w:val="1F2937"/>
          <w:sz w:val="27"/>
          <w:szCs w:val="27"/>
        </w:rPr>
        <w:t xml:space="preserve">9.1 Acoplar un remolque</w:t>
      </w:r>
    </w:p>
    <w:p>
      <w:pPr>
        <w:spacing w:after="200" w:line="300"/>
      </w:pPr>
      <w:r>
        <w:rPr>
          <w:rFonts w:ascii="Calibri" w:cs="Calibri" w:eastAsia="Calibri" w:hAnsi="Calibri"/>
          <w:color w:val="1F2937"/>
          <w:sz w:val="22"/>
          <w:szCs w:val="22"/>
        </w:rPr>
        <w:t xml:space="preserve">Cuando un remolque ha sido asignado a un muelle (por Loader, Dekit o automáticamente mediante una asignación), su ficha muestra Docked — púlsela una vez que haya colocado físicamente el remolque en ese muelle para confirmarlo.</w:t>
      </w:r>
    </w:p>
    <w:p>
      <w:pPr>
        <w:pStyle w:val="Heading2"/>
        <w:spacing w:after="160" w:before="360"/>
      </w:pPr>
      <w:r>
        <w:rPr>
          <w:rFonts w:ascii="Calibri" w:cs="Calibri" w:eastAsia="Calibri" w:hAnsi="Calibri"/>
          <w:b/>
          <w:bCs/>
          <w:color w:val="1F2937"/>
          <w:sz w:val="27"/>
          <w:szCs w:val="27"/>
        </w:rPr>
        <w:t xml:space="preserve">9.2 Recoger para la expedición</w:t>
      </w:r>
    </w:p>
    <w:p>
      <w:pPr>
        <w:spacing w:after="200" w:line="300"/>
      </w:pPr>
      <w:r>
        <w:rPr>
          <w:rFonts w:ascii="Calibri" w:cs="Calibri" w:eastAsia="Calibri" w:hAnsi="Calibri"/>
          <w:color w:val="1F2937"/>
          <w:sz w:val="22"/>
          <w:szCs w:val="22"/>
        </w:rPr>
        <w:t xml:space="preserve">Cuando un remolque está Loaded y se le ha asignado un conductor (véase el capítulo 10), su ficha ofrece Collect for dispatch — púlselo una vez que lo haya enganchado y se dirija hacia la puerta.</w:t>
      </w:r>
    </w:p>
    <w:p>
      <w:pPr>
        <w:pStyle w:val="Heading2"/>
        <w:spacing w:after="160" w:before="360"/>
      </w:pPr>
      <w:r>
        <w:rPr>
          <w:rFonts w:ascii="Calibri" w:cs="Calibri" w:eastAsia="Calibri" w:hAnsi="Calibri"/>
          <w:b/>
          <w:bCs/>
          <w:color w:val="1F2937"/>
          <w:sz w:val="27"/>
          <w:szCs w:val="27"/>
        </w:rPr>
        <w:t xml:space="preserve">9.3 Pending Moves</w:t>
      </w:r>
    </w:p>
    <w:p>
      <w:pPr>
        <w:spacing w:after="200" w:line="300"/>
      </w:pPr>
      <w:r>
        <w:rPr>
          <w:rFonts w:ascii="Calibri" w:cs="Calibri" w:eastAsia="Calibri" w:hAnsi="Calibri"/>
          <w:color w:val="1F2937"/>
          <w:sz w:val="22"/>
          <w:szCs w:val="22"/>
        </w:rPr>
        <w:t xml:space="preserve">Cualquier solicitud Move To o Park up de Loader o Dekit aparece en la tabla Pending Moves bajo el mapa, con el remolque, su muelle de origen y su destino — o «Park up (leave idle/available)» si no hay muelle de destino. Complétela (Complete) cuando haya realizado el movimiento, o cancélela (Cancel) si ya no hace falta.</w:t>
      </w:r>
    </w:p>
    <w:p>
      <w:pPr>
        <w:pStyle w:val="Heading2"/>
        <w:spacing w:after="160" w:before="360"/>
      </w:pPr>
      <w:r>
        <w:rPr>
          <w:rFonts w:ascii="Calibri" w:cs="Calibri" w:eastAsia="Calibri" w:hAnsi="Calibri"/>
          <w:b/>
          <w:bCs/>
          <w:color w:val="1F2937"/>
          <w:sz w:val="27"/>
          <w:szCs w:val="27"/>
        </w:rPr>
        <w:t xml:space="preserve">9.4 Cancelar una asignación de Dekit</w:t>
      </w:r>
    </w:p>
    <w:p>
      <w:pPr>
        <w:spacing w:after="200" w:line="300"/>
      </w:pPr>
      <w:r>
        <w:rPr>
          <w:rFonts w:ascii="Calibri" w:cs="Calibri" w:eastAsia="Calibri" w:hAnsi="Calibri"/>
          <w:color w:val="1F2937"/>
          <w:sz w:val="22"/>
          <w:szCs w:val="22"/>
        </w:rPr>
        <w:t xml:space="preserve">Un remolque asignado a un muelle Dekit pero aún no acoplado (Docked) se puede cancelar directamente desde su ficha, liberando de nuevo el muelle.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asigna un conductor y un camión a una ruta una vez completada la carga.</w:t>
      </w:r>
    </w:p>
    <w:p>
      <w:pPr>
        <w:pStyle w:val="Heading2"/>
        <w:spacing w:after="160" w:before="360"/>
      </w:pPr>
      <w:r>
        <w:rPr>
          <w:rFonts w:ascii="Calibri" w:cs="Calibri" w:eastAsia="Calibri" w:hAnsi="Calibri"/>
          <w:b/>
          <w:bCs/>
          <w:color w:val="1F2937"/>
          <w:sz w:val="27"/>
          <w:szCs w:val="27"/>
        </w:rPr>
        <w:t xml:space="preserve">10.1 Asignar un conductor y un camión</w:t>
      </w:r>
    </w:p>
    <w:p>
      <w:pPr>
        <w:spacing w:after="200" w:line="300"/>
      </w:pPr>
      <w:r>
        <w:rPr>
          <w:rFonts w:ascii="Calibri" w:cs="Calibri" w:eastAsia="Calibri" w:hAnsi="Calibri"/>
          <w:color w:val="1F2937"/>
          <w:sz w:val="22"/>
          <w:szCs w:val="22"/>
        </w:rPr>
        <w:t xml:space="preserve">Un camión se puede asignar por sí solo, con antelación, si ya sabe cuál realiza la ruta. Un conductor, en cambio, nunca se puede asignar sin camión — si el remolque aún no tiene uno, deberá elegir un camión al mismo tiempo que escribe el nombre del conductor. Es deliberado: la pantalla de puerta de Security se niega a dar salida a cualquier remolque con conductor pero sin camión, así que esto evita descubrirlo en la puerta en lugar de en la mesa.</w:t>
      </w:r>
    </w:p>
    <w:p>
      <w:pPr>
        <w:pStyle w:val="Heading2"/>
        <w:spacing w:after="160" w:before="360"/>
      </w:pPr>
      <w:r>
        <w:rPr>
          <w:rFonts w:ascii="Calibri" w:cs="Calibri" w:eastAsia="Calibri" w:hAnsi="Calibri"/>
          <w:b/>
          <w:bCs/>
          <w:color w:val="1F2937"/>
          <w:sz w:val="27"/>
          <w:szCs w:val="27"/>
        </w:rPr>
        <w:t xml:space="preserve">10.2 Conductor asignado — últimas 24 horas</w:t>
      </w:r>
    </w:p>
    <w:p>
      <w:pPr>
        <w:spacing w:after="200" w:line="300"/>
      </w:pPr>
      <w:r>
        <w:rPr>
          <w:rFonts w:ascii="Calibri" w:cs="Calibri" w:eastAsia="Calibri" w:hAnsi="Calibri"/>
          <w:color w:val="1F2937"/>
          <w:sz w:val="22"/>
          <w:szCs w:val="22"/>
        </w:rPr>
        <w:t xml:space="preserve">Bajo la lista de asignaciones hay una ventana móvil de 24 horas con lo asignado recientemente — remolque, ruta, conductor, camión y la hora de asignación — para que vea lo que ha hecho Dispatch hace poco sin que la lista crezca sin límite.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registra cada remolque que pasa por la puerta, en ambos sentidos, desde el ordenador de la garita.</w:t>
      </w:r>
    </w:p>
    <w:p>
      <w:pPr>
        <w:pStyle w:val="Heading2"/>
        <w:spacing w:after="160" w:before="360"/>
      </w:pPr>
      <w:r>
        <w:rPr>
          <w:rFonts w:ascii="Calibri" w:cs="Calibri" w:eastAsia="Calibri" w:hAnsi="Calibri"/>
          <w:b/>
          <w:bCs/>
          <w:color w:val="1F2937"/>
          <w:sz w:val="27"/>
          <w:szCs w:val="27"/>
        </w:rPr>
        <w:t xml:space="preserve">11.1 Salida</w:t>
      </w:r>
    </w:p>
    <w:p>
      <w:pPr>
        <w:spacing w:after="200" w:line="300"/>
      </w:pPr>
      <w:r>
        <w:rPr>
          <w:rFonts w:ascii="Calibri" w:cs="Calibri" w:eastAsia="Calibri" w:hAnsi="Calibri"/>
          <w:color w:val="1F2937"/>
          <w:sz w:val="22"/>
          <w:szCs w:val="22"/>
        </w:rPr>
        <w:t xml:space="preserve">Elija una carga completada y asignada de la lista «Ready for dispatch» — esto le muestra automáticamente el remolque, el conductor y el camión de esa carga para que confirme visualmente que es el correcto antes de registrar la salida. El campo Trailer Number se rellena con su selección, pero sigue siendo totalmente editable si necesita corregirlo.</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no podrá registrar la salida  </w:t>
      </w:r>
      <w:r>
        <w:rPr>
          <w:rFonts w:ascii="Calibri" w:cs="Calibri" w:eastAsia="Calibri" w:hAnsi="Calibri"/>
          <w:color w:val="4B5563"/>
          <w:sz w:val="22"/>
          <w:szCs w:val="22"/>
        </w:rPr>
        <w:t xml:space="preserve"> de un remolque que tenga conductor pero no camión asignado — eso lo tiene que corregir primero Dispatch.</w:t>
      </w:r>
    </w:p>
    <w:p>
      <w:pPr>
        <w:pStyle w:val="Heading2"/>
        <w:spacing w:after="160" w:before="360"/>
      </w:pPr>
      <w:r>
        <w:rPr>
          <w:rFonts w:ascii="Calibri" w:cs="Calibri" w:eastAsia="Calibri" w:hAnsi="Calibri"/>
          <w:b/>
          <w:bCs/>
          <w:color w:val="1F2937"/>
          <w:sz w:val="27"/>
          <w:szCs w:val="27"/>
        </w:rPr>
        <w:t xml:space="preserve">11.2 Entrada</w:t>
      </w:r>
    </w:p>
    <w:p>
      <w:pPr>
        <w:spacing w:after="200" w:line="300"/>
      </w:pPr>
      <w:r>
        <w:rPr>
          <w:rFonts w:ascii="Calibri" w:cs="Calibri" w:eastAsia="Calibri" w:hAnsi="Calibri"/>
          <w:color w:val="1F2937"/>
          <w:sz w:val="22"/>
          <w:szCs w:val="22"/>
        </w:rPr>
        <w:t xml:space="preserve">Elija de la lista «Expected back», o escriba directamente el número de remolque si un conductor ha cambiado de remolque por el camino y el que ha llegado físicamente no coincide con lo esperado — el campo nunca está limitado a la lista.</w:t>
      </w:r>
    </w:p>
    <w:p>
      <w:pPr>
        <w:spacing w:after="200" w:line="300"/>
      </w:pPr>
      <w:r>
        <w:rPr>
          <w:rFonts w:ascii="Calibri" w:cs="Calibri" w:eastAsia="Calibri" w:hAnsi="Calibri"/>
          <w:color w:val="1F2937"/>
          <w:sz w:val="22"/>
          <w:szCs w:val="22"/>
        </w:rPr>
        <w:t xml:space="preserve">Marque los tipos de mercancía que describen lo que vuelve en el remolque (Dekit, Shop return, Frozen, Chill, Ambient, Xdock o Empty) — esto es lo que lo dirige a la pantalla de Dekit, a la de Loader o directamente de vuelta al uso general.</w:t>
      </w:r>
    </w:p>
    <w:p>
      <w:pPr>
        <w:pStyle w:val="Heading2"/>
        <w:spacing w:after="160" w:before="360"/>
      </w:pPr>
      <w:r>
        <w:rPr>
          <w:rFonts w:ascii="Calibri" w:cs="Calibri" w:eastAsia="Calibri" w:hAnsi="Calibri"/>
          <w:b/>
          <w:bCs/>
          <w:color w:val="1F2937"/>
          <w:sz w:val="27"/>
          <w:szCs w:val="27"/>
        </w:rPr>
        <w:t xml:space="preserve">11.3 Transportista</w:t>
      </w:r>
    </w:p>
    <w:p>
      <w:pPr>
        <w:spacing w:after="200" w:line="300"/>
      </w:pPr>
      <w:r>
        <w:rPr>
          <w:rFonts w:ascii="Calibri" w:cs="Calibri" w:eastAsia="Calibri" w:hAnsi="Calibri"/>
          <w:color w:val="1F2937"/>
          <w:sz w:val="22"/>
          <w:szCs w:val="22"/>
        </w:rPr>
        <w:t xml:space="preserve">El campo Haulier se rellena de antemano con el Default Haulier del sitio (definido por Admin — véase 5.2) en ambos sentidos, pero siempre es un campo de texto simple que puede sustituir para una carga concreta.</w:t>
      </w:r>
    </w:p>
    <w:p>
      <w:pPr>
        <w:pStyle w:val="Heading2"/>
        <w:spacing w:after="160" w:before="360"/>
      </w:pPr>
      <w:r>
        <w:rPr>
          <w:rFonts w:ascii="Calibri" w:cs="Calibri" w:eastAsia="Calibri" w:hAnsi="Calibri"/>
          <w:b/>
          <w:bCs/>
          <w:color w:val="1F2937"/>
          <w:sz w:val="27"/>
          <w:szCs w:val="27"/>
        </w:rPr>
        <w:t xml:space="preserve">11.4 Historial de puerta</w:t>
      </w:r>
    </w:p>
    <w:p>
      <w:pPr>
        <w:spacing w:after="200" w:line="300"/>
      </w:pPr>
      <w:r>
        <w:rPr>
          <w:rFonts w:ascii="Calibri" w:cs="Calibri" w:eastAsia="Calibri" w:hAnsi="Calibri"/>
          <w:color w:val="1F2937"/>
          <w:sz w:val="22"/>
          <w:szCs w:val="22"/>
        </w:rPr>
        <w:t xml:space="preserve">Un registro continuo de cada evento de puerta de su sitio, del más reciente al más antiguo, para consultarlo si más tarde surge alguna duda.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mantiene el parque de camiones y remolques disponibles en todos los sitios — a diferencia de la mayoría de los roles, la vista de Fleet no se limita a un solo sitio.</w:t>
      </w:r>
    </w:p>
    <w:p>
      <w:pPr>
        <w:pStyle w:val="Heading2"/>
        <w:spacing w:after="160" w:before="360"/>
      </w:pPr>
      <w:r>
        <w:rPr>
          <w:rFonts w:ascii="Calibri" w:cs="Calibri" w:eastAsia="Calibri" w:hAnsi="Calibri"/>
          <w:b/>
          <w:bCs/>
          <w:color w:val="1F2937"/>
          <w:sz w:val="27"/>
          <w:szCs w:val="27"/>
        </w:rPr>
        <w:t xml:space="preserve">12.1 Remolques</w:t>
      </w:r>
    </w:p>
    <w:p>
      <w:pPr>
        <w:spacing w:after="200" w:line="300"/>
      </w:pPr>
      <w:r>
        <w:rPr>
          <w:rFonts w:ascii="Calibri" w:cs="Calibri" w:eastAsia="Calibri" w:hAnsi="Calibri"/>
          <w:color w:val="1F2937"/>
          <w:sz w:val="22"/>
          <w:szCs w:val="22"/>
        </w:rPr>
        <w:t xml:space="preserve">Busque en la lista completa de remolques, añada un remolque nuevo al parque, quite uno de forma permanente o márquelo VOR (vehículo fuera de servicio).</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Marcar un remolque VOR.  </w:t>
      </w:r>
      <w:r>
        <w:rPr>
          <w:rFonts w:ascii="Calibri" w:cs="Calibri" w:eastAsia="Calibri" w:hAnsi="Calibri"/>
          <w:color w:val="4B5563"/>
          <w:sz w:val="22"/>
          <w:szCs w:val="22"/>
        </w:rPr>
        <w:t xml:space="preserve"> Si está libre en el depósito, VMU lo retiene de inmediato; si está en ruta, se retiene automáticamente cuando vuelva al sitio. En cualquier caso, solo VMU puede liberarlo de nuevo (capítulo 13).</w:t>
      </w:r>
    </w:p>
    <w:p>
      <w:pPr>
        <w:pStyle w:val="Heading2"/>
        <w:spacing w:after="160" w:before="360"/>
      </w:pPr>
      <w:r>
        <w:rPr>
          <w:rFonts w:ascii="Calibri" w:cs="Calibri" w:eastAsia="Calibri" w:hAnsi="Calibri"/>
          <w:b/>
          <w:bCs/>
          <w:color w:val="1F2937"/>
          <w:sz w:val="27"/>
          <w:szCs w:val="27"/>
        </w:rPr>
        <w:t xml:space="preserve">12.2 Camiones</w:t>
      </w:r>
    </w:p>
    <w:p>
      <w:pPr>
        <w:spacing w:after="200" w:line="300"/>
      </w:pPr>
      <w:r>
        <w:rPr>
          <w:rFonts w:ascii="Calibri" w:cs="Calibri" w:eastAsia="Calibri" w:hAnsi="Calibri"/>
          <w:color w:val="1F2937"/>
          <w:sz w:val="22"/>
          <w:szCs w:val="22"/>
        </w:rPr>
        <w:t xml:space="preserve">El mismo patrón que los remolques: añadir, quitar y marcar VOR con un motivo opcional. Un camión VOR aparece como «Held by VMU» hasta que se libera.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es donde se retienen los remolques y camiones que Fleet ha marcado VOR hasta que están en condiciones de volver al servicio.</w:t>
      </w:r>
    </w:p>
    <w:p>
      <w:pPr>
        <w:pStyle w:val="Heading2"/>
        <w:spacing w:after="160" w:before="360"/>
      </w:pPr>
      <w:r>
        <w:rPr>
          <w:rFonts w:ascii="Calibri" w:cs="Calibri" w:eastAsia="Calibri" w:hAnsi="Calibri"/>
          <w:b/>
          <w:bCs/>
          <w:color w:val="1F2937"/>
          <w:sz w:val="27"/>
          <w:szCs w:val="27"/>
        </w:rPr>
        <w:t xml:space="preserve">13.1 Remolques retenidos</w:t>
      </w:r>
    </w:p>
    <w:p>
      <w:pPr>
        <w:spacing w:after="200" w:line="300"/>
      </w:pPr>
      <w:r>
        <w:rPr>
          <w:rFonts w:ascii="Calibri" w:cs="Calibri" w:eastAsia="Calibri" w:hAnsi="Calibri"/>
          <w:color w:val="1F2937"/>
          <w:sz w:val="22"/>
          <w:szCs w:val="22"/>
        </w:rPr>
        <w:t xml:space="preserve">Todos los remolques actualmente retenidos por VMU, en todos los sitios, con su tipo y su última ruta. Release lo devuelve directamente al parque disponible.</w:t>
      </w:r>
    </w:p>
    <w:p>
      <w:pPr>
        <w:pStyle w:val="Heading2"/>
        <w:spacing w:after="160" w:before="360"/>
      </w:pPr>
      <w:r>
        <w:rPr>
          <w:rFonts w:ascii="Calibri" w:cs="Calibri" w:eastAsia="Calibri" w:hAnsi="Calibri"/>
          <w:b/>
          <w:bCs/>
          <w:color w:val="1F2937"/>
          <w:sz w:val="27"/>
          <w:szCs w:val="27"/>
        </w:rPr>
        <w:t xml:space="preserve">13.2 Camiones retenidos</w:t>
      </w:r>
    </w:p>
    <w:p>
      <w:pPr>
        <w:spacing w:after="200" w:line="300"/>
      </w:pPr>
      <w:r>
        <w:rPr>
          <w:rFonts w:ascii="Calibri" w:cs="Calibri" w:eastAsia="Calibri" w:hAnsi="Calibri"/>
          <w:color w:val="1F2937"/>
          <w:sz w:val="22"/>
          <w:szCs w:val="22"/>
        </w:rPr>
        <w:t xml:space="preserve">Todos los camiones VOR, con el motivo que dio Fleet al marcarlos. Release lo devuelve a la lista de disponibles de Dispatch.</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Resolución de problemas</w:t>
      </w:r>
    </w:p>
    <w:p>
      <w:pPr>
        <w:pStyle w:val="Heading2"/>
        <w:spacing w:after="160" w:before="360"/>
      </w:pPr>
      <w:r>
        <w:rPr>
          <w:rFonts w:ascii="Calibri" w:cs="Calibri" w:eastAsia="Calibri" w:hAnsi="Calibri"/>
          <w:b/>
          <w:bCs/>
          <w:color w:val="1F2937"/>
          <w:sz w:val="27"/>
          <w:szCs w:val="27"/>
        </w:rPr>
        <w:t xml:space="preserve">14.1 «This file is in use» tras desinstalar</w:t>
      </w:r>
    </w:p>
    <w:p>
      <w:pPr>
        <w:spacing w:after="200" w:line="300"/>
      </w:pPr>
      <w:r>
        <w:rPr>
          <w:rFonts w:ascii="Calibri" w:cs="Calibri" w:eastAsia="Calibri" w:hAnsi="Calibri"/>
          <w:color w:val="1F2937"/>
          <w:sz w:val="22"/>
          <w:szCs w:val="22"/>
        </w:rPr>
        <w:t xml:space="preserve">TASc6 normalmente se ejecuta sin ventana visible — lo controla el icono de la bandeja, no un programa de la barra de tareas. Windows aún puede mantener abierto un archivo por una copia de Node.js que se ejecuta en segundo plano, casi siempre cuando TASc6 se inició desde el acceso directo «Troubleshooting (console window)» o se dejó en marcha antes de una reinstalación.</w:t>
      </w:r>
    </w:p>
    <w:p>
      <w:pPr>
        <w:pStyle w:val="ListParagraph"/>
        <w:numPr>
          <w:ilvl w:val="0"/>
          <w:numId w:val="11"/>
        </w:numPr>
        <w:spacing w:after="180" w:line="290"/>
      </w:pPr>
      <w:r>
        <w:rPr>
          <w:rFonts w:ascii="Calibri" w:cs="Calibri" w:eastAsia="Calibri" w:hAnsi="Calibri"/>
          <w:color w:val="1F2937"/>
          <w:sz w:val="22"/>
          <w:szCs w:val="22"/>
        </w:rPr>
        <w:t xml:space="preserve">Abra el Administrador de tareas (Ctrl+Mayús+Esc) y haga clic en la pestaña Detalles.</w:t>
      </w:r>
    </w:p>
    <w:p>
      <w:pPr>
        <w:pStyle w:val="ListParagraph"/>
        <w:numPr>
          <w:ilvl w:val="0"/>
          <w:numId w:val="11"/>
        </w:numPr>
        <w:spacing w:after="180" w:line="290"/>
      </w:pPr>
      <w:r>
        <w:rPr>
          <w:rFonts w:ascii="Calibri" w:cs="Calibri" w:eastAsia="Calibri" w:hAnsi="Calibri"/>
          <w:color w:val="1F2937"/>
          <w:sz w:val="22"/>
          <w:szCs w:val="22"/>
        </w:rPr>
        <w:t xml:space="preserve">Haga clic derecho en los encabezados de columna, elija Seleccionar columnas y marque Línea de comandos.</w:t>
      </w:r>
    </w:p>
    <w:p>
      <w:pPr>
        <w:pStyle w:val="ListParagraph"/>
        <w:numPr>
          <w:ilvl w:val="0"/>
          <w:numId w:val="11"/>
        </w:numPr>
        <w:spacing w:after="180" w:line="290"/>
      </w:pPr>
      <w:r>
        <w:rPr>
          <w:rFonts w:ascii="Calibri" w:cs="Calibri" w:eastAsia="Calibri" w:hAnsi="Calibri"/>
          <w:color w:val="1F2937"/>
          <w:sz w:val="22"/>
          <w:szCs w:val="22"/>
        </w:rPr>
        <w:t xml:space="preserve">Ordene por Nombre y busque node.exe — la columna Línea de comandos mencionará server.js o su carpeta de instalación de TASc6.</w:t>
      </w:r>
    </w:p>
    <w:p>
      <w:pPr>
        <w:pStyle w:val="ListParagraph"/>
        <w:numPr>
          <w:ilvl w:val="0"/>
          <w:numId w:val="11"/>
        </w:numPr>
        <w:spacing w:after="180" w:line="290"/>
      </w:pPr>
      <w:r>
        <w:rPr>
          <w:rFonts w:ascii="Calibri" w:cs="Calibri" w:eastAsia="Calibri" w:hAnsi="Calibri"/>
          <w:color w:val="1F2937"/>
          <w:sz w:val="22"/>
          <w:szCs w:val="22"/>
        </w:rPr>
        <w:t xml:space="preserve">Haga clic derecho en él y elija Finalizar tarea.</w:t>
      </w:r>
    </w:p>
    <w:p>
      <w:pPr>
        <w:pStyle w:val="ListParagraph"/>
        <w:numPr>
          <w:ilvl w:val="0"/>
          <w:numId w:val="11"/>
        </w:numPr>
        <w:spacing w:after="180" w:line="290"/>
      </w:pPr>
      <w:r>
        <w:rPr>
          <w:rFonts w:ascii="Calibri" w:cs="Calibri" w:eastAsia="Calibri" w:hAnsi="Calibri"/>
          <w:color w:val="1F2937"/>
          <w:sz w:val="22"/>
          <w:szCs w:val="22"/>
        </w:rPr>
        <w:t xml:space="preserve">Compruebe también en la barra de tareas si hay una ventana de consola negra y ciérrela si la encuentra.</w:t>
      </w:r>
    </w:p>
    <w:p>
      <w:pPr>
        <w:pStyle w:val="Heading2"/>
        <w:spacing w:after="160" w:before="360"/>
      </w:pPr>
      <w:r>
        <w:rPr>
          <w:rFonts w:ascii="Calibri" w:cs="Calibri" w:eastAsia="Calibri" w:hAnsi="Calibri"/>
          <w:b/>
          <w:bCs/>
          <w:color w:val="1F2937"/>
          <w:sz w:val="27"/>
          <w:szCs w:val="27"/>
        </w:rPr>
        <w:t xml:space="preserve">14.2 El icono de la bandeja indica Stopped, pero TASc6 claramente está en marcha</w:t>
      </w:r>
    </w:p>
    <w:p>
      <w:pPr>
        <w:spacing w:after="200" w:line="300"/>
      </w:pPr>
      <w:r>
        <w:rPr>
          <w:rFonts w:ascii="Calibri" w:cs="Calibri" w:eastAsia="Calibri" w:hAnsi="Calibri"/>
          <w:color w:val="1F2937"/>
          <w:sz w:val="22"/>
          <w:szCs w:val="22"/>
        </w:rPr>
        <w:t xml:space="preserve">Haga clic derecho en el icono y elija Start. Si TASc6 realmente ya está en ejecución (por ejemplo, iniciado desde el acceso directo de consola en lugar de desde la bandeja), lo detecta y no arranca una segunda copia — es seguro probarlo. Si el estado sigue pareciendo incorrecto, reinicie el propio icono: clic derecho → Exit y vuelva a abrir TASc6 desde el menú Inicio.</w:t>
      </w:r>
    </w:p>
    <w:p>
      <w:pPr>
        <w:pStyle w:val="Heading2"/>
        <w:spacing w:after="160" w:before="360"/>
      </w:pPr>
      <w:r>
        <w:rPr>
          <w:rFonts w:ascii="Calibri" w:cs="Calibri" w:eastAsia="Calibri" w:hAnsi="Calibri"/>
          <w:b/>
          <w:bCs/>
          <w:color w:val="1F2937"/>
          <w:sz w:val="27"/>
          <w:szCs w:val="27"/>
        </w:rPr>
        <w:t xml:space="preserve">14.3 Nadie más en el sitio puede acceder a TASc6</w:t>
      </w:r>
    </w:p>
    <w:p>
      <w:pPr>
        <w:spacing w:after="200" w:line="300"/>
      </w:pPr>
      <w:r>
        <w:rPr>
          <w:rFonts w:ascii="Calibri" w:cs="Calibri" w:eastAsia="Calibri" w:hAnsi="Calibri"/>
          <w:color w:val="1F2937"/>
          <w:sz w:val="22"/>
          <w:szCs w:val="22"/>
        </w:rPr>
        <w:t xml:space="preserve">Compruebe en este orden:</w:t>
      </w:r>
    </w:p>
    <w:p>
      <w:pPr>
        <w:pStyle w:val="ListParagraph"/>
        <w:numPr>
          <w:ilvl w:val="0"/>
          <w:numId w:val="6"/>
        </w:numPr>
        <w:spacing w:after="120" w:line="290"/>
      </w:pPr>
      <w:r>
        <w:rPr>
          <w:rFonts w:ascii="Calibri" w:cs="Calibri" w:eastAsia="Calibri" w:hAnsi="Calibri"/>
          <w:color w:val="1F2937"/>
          <w:sz w:val="22"/>
          <w:szCs w:val="22"/>
        </w:rPr>
        <w:t xml:space="preserve">¿Está encendido el equipo anfitrión y el icono de la bandeja muestra TASc6 en marcha?</w:t>
      </w:r>
    </w:p>
    <w:p>
      <w:pPr>
        <w:pStyle w:val="ListParagraph"/>
        <w:numPr>
          <w:ilvl w:val="0"/>
          <w:numId w:val="6"/>
        </w:numPr>
        <w:spacing w:after="120" w:line="290"/>
      </w:pPr>
      <w:r>
        <w:rPr>
          <w:rFonts w:ascii="Calibri" w:cs="Calibri" w:eastAsia="Calibri" w:hAnsi="Calibri"/>
          <w:color w:val="1F2937"/>
          <w:sz w:val="22"/>
          <w:szCs w:val="22"/>
        </w:rPr>
        <w:t xml:space="preserve">¿Se permitió en el Firewall de Windows el aviso de Node.js (véase 2.5)?</w:t>
      </w:r>
    </w:p>
    <w:p>
      <w:pPr>
        <w:pStyle w:val="ListParagraph"/>
        <w:numPr>
          <w:ilvl w:val="0"/>
          <w:numId w:val="6"/>
        </w:numPr>
        <w:spacing w:after="120" w:line="290"/>
      </w:pPr>
      <w:r>
        <w:rPr>
          <w:rFonts w:ascii="Calibri" w:cs="Calibri" w:eastAsia="Calibri" w:hAnsi="Calibri"/>
          <w:color w:val="1F2937"/>
          <w:sz w:val="22"/>
          <w:szCs w:val="22"/>
        </w:rPr>
        <w:t xml:space="preserve">¿Está el dispositivo que intenta conectarse en la misma red/VLAN que el equipo anfitrión?</w:t>
      </w:r>
    </w:p>
    <w:p>
      <w:pPr>
        <w:pStyle w:val="ListParagraph"/>
        <w:numPr>
          <w:ilvl w:val="0"/>
          <w:numId w:val="6"/>
        </w:numPr>
        <w:spacing w:after="120" w:line="290"/>
      </w:pPr>
      <w:r>
        <w:rPr>
          <w:rFonts w:ascii="Calibri" w:cs="Calibri" w:eastAsia="Calibri" w:hAnsi="Calibri"/>
          <w:color w:val="1F2937"/>
          <w:sz w:val="22"/>
          <w:szCs w:val="22"/>
        </w:rPr>
        <w:t xml:space="preserve">¿Usa la dirección fija del equipo anfitrión y no «localhost» (que solo funciona en el propio equipo anfitrión)?</w:t>
      </w:r>
    </w:p>
    <w:p>
      <w:pPr>
        <w:pStyle w:val="ListParagraph"/>
        <w:numPr>
          <w:ilvl w:val="0"/>
          <w:numId w:val="6"/>
        </w:numPr>
        <w:spacing w:after="120" w:line="290"/>
      </w:pPr>
      <w:r>
        <w:rPr>
          <w:rFonts w:ascii="Calibri" w:cs="Calibri" w:eastAsia="Calibri" w:hAnsi="Calibri"/>
          <w:color w:val="1F2937"/>
          <w:sz w:val="22"/>
          <w:szCs w:val="22"/>
        </w:rPr>
        <w:t xml:space="preserve">En una tableta: ¿hay realmente señal wifi en ese punto del depósito?</w:t>
      </w:r>
    </w:p>
    <w:p>
      <w:pPr>
        <w:pStyle w:val="Heading2"/>
        <w:spacing w:after="160" w:before="360"/>
      </w:pPr>
      <w:r>
        <w:rPr>
          <w:rFonts w:ascii="Calibri" w:cs="Calibri" w:eastAsia="Calibri" w:hAnsi="Calibri"/>
          <w:b/>
          <w:bCs/>
          <w:color w:val="1F2937"/>
          <w:sz w:val="27"/>
          <w:szCs w:val="27"/>
        </w:rPr>
        <w:t xml:space="preserve">14.4 Contraseña olvidada</w:t>
      </w:r>
    </w:p>
    <w:p>
      <w:pPr>
        <w:spacing w:after="200" w:line="300"/>
      </w:pPr>
      <w:r>
        <w:rPr>
          <w:rFonts w:ascii="Calibri" w:cs="Calibri" w:eastAsia="Calibri" w:hAnsi="Calibri"/>
          <w:color w:val="1F2937"/>
          <w:sz w:val="22"/>
          <w:szCs w:val="22"/>
        </w:rPr>
        <w:t xml:space="preserve">Solo Admin puede establecer una contraseña nueva para su cuenta — no hay restablecimiento por cuenta propia. Pida al Admin de su sitio que abra Users, edite su cuenta y establezca una contraseña nueva.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Obtener ayuda</w:t>
      </w:r>
    </w:p>
    <w:p>
      <w:pPr>
        <w:spacing w:after="200" w:line="300"/>
      </w:pPr>
      <w:r>
        <w:rPr>
          <w:rFonts w:ascii="Calibri" w:cs="Calibri" w:eastAsia="Calibri" w:hAnsi="Calibri"/>
          <w:color w:val="1F2937"/>
          <w:sz w:val="22"/>
          <w:szCs w:val="22"/>
        </w:rPr>
        <w:t xml:space="preserve">El Admin de su sitio es el primer punto de contacto para las dudas del día a día — cuentas, sitios, muelles y remolques son cosas que puede cambiar directamente.</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Necesidad</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Contacto</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Ayuda con la instalación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Licencias y renovaciones</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Consultas generales</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Todo lo demás</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lo construye y lo atiende directamente el equipo que lo desarrolla — si algo falla en su depósito, habla con alguien que realmente puede arreglarlo, no con una cola de tickets.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Guía de usuario</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