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200"/>
        <w:jc w:val="center"/>
      </w:pPr>
      <w:r>
        <w:rPr>
          <w:rFonts w:ascii="Calibri" w:cs="Calibri" w:eastAsia="Calibri" w:hAnsi="Calibri"/>
          <w:b/>
          <w:bCs/>
          <w:color w:val="92400E"/>
          <w:sz w:val="72"/>
          <w:szCs w:val="72"/>
        </w:rPr>
        <w:t xml:space="preserve">TASc6</w:t>
      </w:r>
    </w:p>
    <w:p>
      <w:pPr>
        <w:spacing w:after="60" w:before="120"/>
        <w:jc w:val="center"/>
      </w:pPr>
      <w:r>
        <w:rPr>
          <w:rFonts w:ascii="Calibri" w:cs="Calibri" w:eastAsia="Calibri" w:hAnsi="Calibri"/>
          <w:color w:val="4B5563"/>
          <w:sz w:val="28"/>
          <w:szCs w:val="28"/>
        </w:rPr>
        <w:t xml:space="preserve">Trailer Allocation Service Coordinator</w:t>
      </w:r>
    </w:p>
    <w:p>
      <w:pPr>
        <w:spacing w:after="1600" w:before="0"/>
        <w:jc w:val="center"/>
      </w:pPr>
      <w:r>
        <w:rPr>
          <w:rFonts w:ascii="Calibri" w:cs="Calibri" w:eastAsia="Calibri" w:hAnsi="Calibri"/>
          <w:b/>
          <w:bCs/>
          <w:color w:val="1F2937"/>
          <w:sz w:val="40"/>
          <w:szCs w:val="40"/>
        </w:rPr>
        <w:t xml:space="preserve">Guide utilisateur</w:t>
      </w:r>
    </w:p>
    <w:p>
      <w:pPr>
        <w:spacing w:after="80"/>
        <w:jc w:val="center"/>
      </w:pPr>
      <w:r>
        <w:rPr>
          <w:rFonts w:ascii="Calibri" w:cs="Calibri" w:eastAsia="Calibri" w:hAnsi="Calibri"/>
          <w:color w:val="4B5563"/>
          <w:sz w:val="20"/>
          <w:szCs w:val="20"/>
        </w:rPr>
        <w:t xml:space="preserve">Couvre l'installation, la configuration du site et chaque rôle : Admin, Planner,</w:t>
      </w:r>
    </w:p>
    <w:p>
      <w:pPr>
        <w:spacing w:after="800"/>
        <w:jc w:val="center"/>
      </w:pPr>
      <w:r>
        <w:rPr>
          <w:rFonts w:ascii="Calibri" w:cs="Calibri" w:eastAsia="Calibri" w:hAnsi="Calibri"/>
          <w:color w:val="4B5563"/>
          <w:sz w:val="20"/>
          <w:szCs w:val="20"/>
        </w:rPr>
        <w:t xml:space="preserve">Loader, Dekit, Shunter, Dispatch, Security, Fleet et VMU.</w:t>
      </w:r>
    </w:p>
    <w:p>
      <w:pPr>
        <w:spacing w:after="40"/>
        <w:jc w:val="center"/>
      </w:pPr>
      <w:r>
        <w:rPr>
          <w:rFonts w:ascii="Calibri" w:cs="Calibri" w:eastAsia="Calibri" w:hAnsi="Calibri"/>
          <w:color w:val="4B5563"/>
          <w:sz w:val="20"/>
          <w:szCs w:val="20"/>
        </w:rPr>
        <w:t xml:space="preserve">TASc6 Ltd</w:t>
      </w:r>
    </w:p>
    <w:p>
      <w:pPr>
        <w:jc w:val="center"/>
      </w:pPr>
      <w:r>
        <w:rPr>
          <w:rFonts w:ascii="Calibri" w:cs="Calibri" w:eastAsia="Calibri" w:hAnsi="Calibri"/>
          <w:color w:val="4B5563"/>
          <w:sz w:val="20"/>
          <w:szCs w:val="20"/>
        </w:rPr>
        <w:t xml:space="preserve">info@tasc6.net  ·  tasc6.net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Sommaire</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color w:val="4B5563"/>
          <w:sz w:val="22"/>
          <w:szCs w:val="22"/>
        </w:rPr>
        <w:t xml:space="preserve">Faites un clic droit sur ce tableau et choisissez « Mettre à jour les champs » (ou appuyez sur F9) pour y insérer les numéros de page.</w:t>
      </w:r>
    </w:p>
    <w:sdt>
      <w:sdtPr>
        <w:alias w:val="Contents"/>
      </w:sdtPr>
      <w:sdtContent>
        <w:p>
          <w:r>
            <w:fldChar w:fldCharType="begin" w:dirty="true"/>
            <w:instrText xml:space="preserve">TOC \h \o "1-3"</w:instrText>
            <w:fldChar w:fldCharType="separate"/>
          </w:r>
        </w:p>
        <w:p>
          <w:r>
            <w:fldChar w:fldCharType="end"/>
          </w:r>
        </w:p>
      </w:sdtContent>
    </w:sdt>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 Introduction</w:t>
      </w:r>
    </w:p>
    <w:p>
      <w:pPr>
        <w:spacing w:after="200" w:line="300"/>
      </w:pPr>
      <w:r>
        <w:rPr>
          <w:rFonts w:ascii="Calibri" w:cs="Calibri" w:eastAsia="Calibri" w:hAnsi="Calibri"/>
          <w:color w:val="1F2937"/>
          <w:sz w:val="22"/>
          <w:szCs w:val="22"/>
        </w:rPr>
        <w:t xml:space="preserve">TASc6 remplace les tableaux blancs, les radios et les feuilles de calcul par une vue en direct unique de chaque quai, de chaque remorque et de chaque mouvement de votre dépôt. Tous ceux qui touchent une remorque — la personne qui la charge, celle qui la conduit à travers le dépôt, celle qui l'enregistre à la barrière, celle qui l'achemine — consultent les mêmes données en direct, sur un écran conçu pour leur propre métier.</w:t>
      </w:r>
    </w:p>
    <w:p>
      <w:pPr>
        <w:spacing w:after="200" w:line="300"/>
      </w:pPr>
      <w:r>
        <w:rPr>
          <w:rFonts w:ascii="Calibri" w:cs="Calibri" w:eastAsia="Calibri" w:hAnsi="Calibri"/>
          <w:color w:val="1F2937"/>
          <w:sz w:val="22"/>
          <w:szCs w:val="22"/>
        </w:rPr>
        <w:t xml:space="preserve">Plutôt qu'un seul écran qui tente de tout faire, TASc6 donne à chaque rôle exactement ce dont il a besoin, et rien d'autre :</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1800"/>
        <w:gridCol w:w="5600"/>
        <w:gridCol w:w="2238"/>
      </w:tblGrid>
      <w:tr>
        <w:trPr>
          <w:tblHeader/>
        </w:trPr>
        <w:tc>
          <w:tcPr>
            <w:tcW w:type="dxa" w:w="18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Rôle</w:t>
            </w:r>
          </w:p>
        </w:tc>
        <w:tc>
          <w:tcPr>
            <w:tcW w:type="dxa" w:w="56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Ce qu'il fait</w:t>
            </w:r>
          </w:p>
        </w:tc>
        <w:tc>
          <w:tcPr>
            <w:tcW w:type="dxa" w:w="22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Appareil habituel</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Admin</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Configure les sites, utilisateurs, remorques, camions, quais et sauvegardes.</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Ordinateur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Planner</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Définit les sites de livraison, les restrictions de quais et construit les tournées quotidiennes.</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Ordinateur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Loader</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Affecte les remorques aux quais et marque les chargements terminés.</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Ordinateur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Dekit</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Vide les remorques revenues avec d'anciens produits ou emballages.</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Ordinateur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Shunter</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Déplace les remorques dans le dépôt depuis une tablette en cabine.</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Tablette (en cabine)</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Dispatch</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Affecte un conducteur et un camion à une remorque chargée avant son départ.</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Ordinateur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Security</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Enregistre chaque entrée et sortie de remorque à la barrière.</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Ordinateur (poste de garde)</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Fleet</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Gère le parc de camions et de remorques et les signale hors service (VOR).</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Ordinateur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VMU</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Remet camions et remorques en service une fois réparés.</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Ordinateur</w:t>
            </w:r>
          </w:p>
        </w:tc>
      </w:tr>
    </w:tbl>
    <w:p>
      <w:pPr>
        <w:spacing w:after="200" w:line="300"/>
      </w:pPr>
      <w:r>
        <w:rPr>
          <w:rFonts w:ascii="Calibri" w:cs="Calibri" w:eastAsia="Calibri" w:hAnsi="Calibri"/>
          <w:color w:val="1F2937"/>
          <w:sz w:val="22"/>
          <w:szCs w:val="22"/>
        </w:rPr>
        <w:t xml:space="preserve">Ce guide comporte quatre parties : l'installation de TASc6, la configuration du réseau et des appareils de votre site, un chapitre par rôle ci-dessus, et un chapitre de dépannage à la fin.</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Remarque.  </w:t>
      </w:r>
      <w:r>
        <w:rPr>
          <w:rFonts w:ascii="Calibri" w:cs="Calibri" w:eastAsia="Calibri" w:hAnsi="Calibri"/>
          <w:color w:val="4B5563"/>
          <w:sz w:val="22"/>
          <w:szCs w:val="22"/>
        </w:rPr>
        <w:t xml:space="preserve"> Les écrans se mettent à jour à l'instant où quelque chose change ailleurs — il n'y a aucun bouton d'actualisation à chercher, et aucun n'est nécessaire.</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2. Installation de TASc6</w:t>
      </w:r>
    </w:p>
    <w:p>
      <w:pPr>
        <w:pStyle w:val="Heading2"/>
        <w:spacing w:after="160" w:before="360"/>
      </w:pPr>
      <w:r>
        <w:rPr>
          <w:rFonts w:ascii="Calibri" w:cs="Calibri" w:eastAsia="Calibri" w:hAnsi="Calibri"/>
          <w:b/>
          <w:bCs/>
          <w:color w:val="1F2937"/>
          <w:sz w:val="27"/>
          <w:szCs w:val="27"/>
        </w:rPr>
        <w:t xml:space="preserve">2.1 Avant de commencer</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2600"/>
        <w:gridCol w:w="6438"/>
      </w:tblGrid>
      <w:tr>
        <w:trPr>
          <w:tblHeader/>
        </w:trPr>
        <w:tc>
          <w:tcPr>
            <w:tcW w:type="dxa" w:w="26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Exigence</w:t>
            </w:r>
          </w:p>
        </w:tc>
        <w:tc>
          <w:tcPr>
            <w:tcW w:type="dxa" w:w="64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Détail</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Système d'exploitation</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Windows 10, Windows 11 ou Windows Server (64 bits)</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Autorisations</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Droits d'administrateur sur la machine d'installation</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Espace disque</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Environ 500 Mo libres — TASc6 embarque sa propre copie de Node.js, rien d'autre n'est à installer au préalable</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Réseau</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Aucune connexion Internet n'est nécessaire pendant l'installation</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Port</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Port 3000 libre sur la machine (modifiable ensuite en cas de conflit avec autre chose)</w:t>
            </w:r>
          </w:p>
        </w:tc>
      </w:tr>
    </w:tbl>
    <w:p>
      <w:pPr>
        <w:pStyle w:val="Heading2"/>
        <w:spacing w:after="160" w:before="360"/>
      </w:pPr>
      <w:r>
        <w:rPr>
          <w:rFonts w:ascii="Calibri" w:cs="Calibri" w:eastAsia="Calibri" w:hAnsi="Calibri"/>
          <w:b/>
          <w:bCs/>
          <w:color w:val="1F2937"/>
          <w:sz w:val="27"/>
          <w:szCs w:val="27"/>
        </w:rPr>
        <w:t xml:space="preserve">2.2 Choisir votre installateur</w:t>
      </w:r>
    </w:p>
    <w:p>
      <w:pPr>
        <w:spacing w:after="200" w:line="300"/>
      </w:pPr>
      <w:r>
        <w:rPr>
          <w:rFonts w:ascii="Calibri" w:cs="Calibri" w:eastAsia="Calibri" w:hAnsi="Calibri"/>
          <w:color w:val="1F2937"/>
          <w:sz w:val="22"/>
          <w:szCs w:val="22"/>
        </w:rPr>
        <w:t xml:space="preserve">Les deux installateurs correspondent à la même application — choisissez celui qui correspond au nombre de sites dont vous avez besoin. Si vous hésitez, choisissez Multi Site : il fonctionne même si vous ne prévoyez d'utiliser qu'un seul site au début.</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3400"/>
        <w:gridCol w:w="5638"/>
      </w:tblGrid>
      <w:tr>
        <w:trPr>
          <w:tblHeader/>
        </w:trPr>
        <w:tc>
          <w:tcPr>
            <w:tcW w:type="dxa" w:w="34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Installateur</w:t>
            </w:r>
          </w:p>
        </w:tc>
        <w:tc>
          <w:tcPr>
            <w:tcW w:type="dxa" w:w="56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À utiliser si…</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TASc6-Setup.exe (Multi Site)</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Vous gérez, ou pourriez gérer un jour, plusieurs sites liés. Livré avec 2 sites au départ — ajoutez-en un troisième à tout moment depuis Admin.</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TASc6-SingleSite-Setup.exe (Single Site)</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Vous n'avez jamais besoin que d'un seul site. Entièrement préconfiguré avec ses quais, prêt à fonctionner.</w:t>
            </w:r>
          </w:p>
        </w:tc>
      </w:tr>
    </w:tbl>
    <w:p>
      <w:pPr>
        <w:spacing w:after="200" w:line="300"/>
      </w:pPr>
      <w:r>
        <w:rPr>
          <w:rFonts w:ascii="Calibri" w:cs="Calibri" w:eastAsia="Calibri" w:hAnsi="Calibri"/>
          <w:color w:val="1F2937"/>
          <w:sz w:val="22"/>
          <w:szCs w:val="22"/>
        </w:rPr>
        <w:t xml:space="preserve">Les deux donnent accès à tous les rôles — Planner, Loader, Shunter, Dekit, Security, Dispatch, Fleet, VMU et Admin — sous la même licence et le même support.</w:t>
      </w:r>
    </w:p>
    <w:p>
      <w:pPr>
        <w:pStyle w:val="Heading2"/>
        <w:spacing w:after="160" w:before="360"/>
      </w:pPr>
      <w:r>
        <w:rPr>
          <w:rFonts w:ascii="Calibri" w:cs="Calibri" w:eastAsia="Calibri" w:hAnsi="Calibri"/>
          <w:b/>
          <w:bCs/>
          <w:color w:val="1F2937"/>
          <w:sz w:val="27"/>
          <w:szCs w:val="27"/>
        </w:rPr>
        <w:t xml:space="preserve">2.3 Télécharger TASc6</w:t>
      </w:r>
    </w:p>
    <w:p>
      <w:pPr>
        <w:spacing w:after="200" w:line="300"/>
      </w:pPr>
      <w:r>
        <w:rPr>
          <w:rFonts w:ascii="Calibri" w:cs="Calibri" w:eastAsia="Calibri" w:hAnsi="Calibri"/>
          <w:color w:val="1F2937"/>
          <w:sz w:val="22"/>
          <w:szCs w:val="22"/>
        </w:rPr>
        <w:t xml:space="preserve">Téléchargez l'installateur depuis tasc6.net/download.html. On vous demandera un nom, un e-mail, une société et une ville pour que nous sachions qui essaie TASc6 et puissions vous recontacter si vous avez des questions — le téléchargement démarre aussitôt après.</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Essai.  </w:t>
      </w:r>
      <w:r>
        <w:rPr>
          <w:rFonts w:ascii="Calibri" w:cs="Calibri" w:eastAsia="Calibri" w:hAnsi="Calibri"/>
          <w:color w:val="4B5563"/>
          <w:sz w:val="22"/>
          <w:szCs w:val="22"/>
        </w:rPr>
        <w:t xml:space="preserve"> TASc6 est pleinement utilisable dès son installation — toutes les fonctions marchent pendant 14 jours sans clé de licence. Achetez et activez une clé à tout moment, pendant ou après l'essai, pour débloquer une année complète.</w:t>
      </w:r>
    </w:p>
    <w:p>
      <w:pPr>
        <w:pStyle w:val="Heading2"/>
        <w:spacing w:after="160" w:before="360"/>
      </w:pPr>
      <w:r>
        <w:rPr>
          <w:rFonts w:ascii="Calibri" w:cs="Calibri" w:eastAsia="Calibri" w:hAnsi="Calibri"/>
          <w:b/>
          <w:bCs/>
          <w:color w:val="1F2937"/>
          <w:sz w:val="27"/>
          <w:szCs w:val="27"/>
        </w:rPr>
        <w:t xml:space="preserve">2.4 Exécuter l'installateur</w:t>
      </w:r>
    </w:p>
    <w:p>
      <w:pPr>
        <w:spacing w:after="200" w:line="300"/>
      </w:pPr>
      <w:r>
        <w:rPr>
          <w:rFonts w:ascii="Calibri" w:cs="Calibri" w:eastAsia="Calibri" w:hAnsi="Calibri"/>
          <w:color w:val="1F2937"/>
          <w:sz w:val="22"/>
          <w:szCs w:val="22"/>
        </w:rPr>
        <w:t xml:space="preserve">Windows se méfie des nouveaux installateurs non signés téléchargés sur Internet — TASc6 est le produit d'une petite entreprise et n'a pas encore l'historique de téléchargements qui évite à Windows de le signaler. Rien de ce qui suit n'indique un problème avec le fichier.</w:t>
      </w:r>
    </w:p>
    <w:p>
      <w:pPr>
        <w:pStyle w:val="Heading3"/>
        <w:spacing w:after="120" w:before="260"/>
      </w:pPr>
      <w:r>
        <w:rPr>
          <w:rFonts w:ascii="Calibri" w:cs="Calibri" w:eastAsia="Calibri" w:hAnsi="Calibri"/>
          <w:b/>
          <w:bCs/>
          <w:color w:val="1F2937"/>
          <w:sz w:val="24"/>
          <w:szCs w:val="24"/>
        </w:rPr>
        <w:t xml:space="preserve">Votre navigateur signale le téléchargement</w:t>
      </w:r>
    </w:p>
    <w:p>
      <w:pPr>
        <w:spacing w:after="200" w:line="300"/>
      </w:pPr>
      <w:r>
        <w:rPr>
          <w:rFonts w:ascii="Calibri" w:cs="Calibri" w:eastAsia="Calibri" w:hAnsi="Calibri"/>
          <w:color w:val="1F2937"/>
          <w:sz w:val="22"/>
          <w:szCs w:val="22"/>
        </w:rPr>
        <w:t xml:space="preserve">Edge ou Chrome peut indiquer que le fichier « n'est pas couramment téléchargé » ou similaire. Choisissez </w:t>
      </w:r>
      <w:r>
        <w:rPr>
          <w:rFonts w:ascii="Calibri" w:cs="Calibri" w:eastAsia="Calibri" w:hAnsi="Calibri"/>
          <w:b/>
          <w:bCs/>
          <w:color w:val="1F2937"/>
          <w:sz w:val="22"/>
          <w:szCs w:val="22"/>
        </w:rPr>
        <w:t xml:space="preserve">Conserver</w:t>
      </w:r>
      <w:r>
        <w:rPr>
          <w:rFonts w:ascii="Calibri" w:cs="Calibri" w:eastAsia="Calibri" w:hAnsi="Calibri"/>
          <w:color w:val="1F2937"/>
          <w:sz w:val="22"/>
          <w:szCs w:val="22"/>
        </w:rPr>
        <w:t xml:space="preserve"> ou </w:t>
      </w:r>
      <w:r>
        <w:rPr>
          <w:rFonts w:ascii="Calibri" w:cs="Calibri" w:eastAsia="Calibri" w:hAnsi="Calibri"/>
          <w:b/>
          <w:bCs/>
          <w:color w:val="1F2937"/>
          <w:sz w:val="22"/>
          <w:szCs w:val="22"/>
        </w:rPr>
        <w:t xml:space="preserve">Conserver quand même</w:t>
      </w:r>
      <w:r>
        <w:rPr>
          <w:rFonts w:ascii="Calibri" w:cs="Calibri" w:eastAsia="Calibri" w:hAnsi="Calibri"/>
          <w:color w:val="1F2937"/>
          <w:sz w:val="22"/>
          <w:szCs w:val="22"/>
        </w:rPr>
        <w:t xml:space="preserve"> (le libellé varie selon le navigateur) pour terminer le téléchargement.</w:t>
      </w:r>
    </w:p>
    <w:p>
      <w:pPr>
        <w:pStyle w:val="Heading3"/>
        <w:spacing w:after="120" w:before="260"/>
      </w:pPr>
      <w:r>
        <w:rPr>
          <w:rFonts w:ascii="Calibri" w:cs="Calibri" w:eastAsia="Calibri" w:hAnsi="Calibri"/>
          <w:b/>
          <w:bCs/>
          <w:color w:val="1F2937"/>
          <w:sz w:val="24"/>
          <w:szCs w:val="24"/>
        </w:rPr>
        <w:t xml:space="preserve">Windows SmartScreen : « Windows a protégé votre ordinateur »</w:t>
      </w:r>
    </w:p>
    <w:p>
      <w:pPr>
        <w:spacing w:after="200" w:line="300"/>
      </w:pPr>
      <w:r>
        <w:rPr>
          <w:rFonts w:ascii="Calibri" w:cs="Calibri" w:eastAsia="Calibri" w:hAnsi="Calibri"/>
          <w:color w:val="1F2937"/>
          <w:sz w:val="22"/>
          <w:szCs w:val="22"/>
        </w:rPr>
        <w:t xml:space="preserve">Quand vous double-cliquez sur l'installateur téléchargé, vous verrez très probablement un écran bleu intitulé « Windows a protégé votre ordinateur », mentionnant une « application non reconnue ». C'est Windows SmartScreen, qui apparaît pour toute nouvelle application sans réputation établie auprès de Microsoft — ce n'est pas une alerte antivirus.</w:t>
      </w:r>
    </w:p>
    <w:p>
      <w:pPr>
        <w:pStyle w:val="ListParagraph"/>
        <w:numPr>
          <w:ilvl w:val="0"/>
          <w:numId w:val="2"/>
        </w:numPr>
        <w:spacing w:after="180" w:line="290"/>
      </w:pPr>
      <w:r>
        <w:rPr>
          <w:rFonts w:ascii="Calibri" w:cs="Calibri" w:eastAsia="Calibri" w:hAnsi="Calibri"/>
          <w:b/>
          <w:bCs/>
          <w:color w:val="1F2937"/>
          <w:sz w:val="22"/>
          <w:szCs w:val="22"/>
        </w:rPr>
        <w:t xml:space="preserve">Informations complémentaires</w:t>
      </w:r>
      <w:r>
        <w:rPr>
          <w:rFonts w:ascii="Calibri" w:cs="Calibri" w:eastAsia="Calibri" w:hAnsi="Calibri"/>
          <w:color w:val="1F2937"/>
          <w:sz w:val="22"/>
          <w:szCs w:val="22"/>
        </w:rPr>
        <w:t xml:space="preserve"> — cliquez d'abord sur ce lien dans la boîte bleue. Ne cliquez pas encore sur </w:t>
      </w:r>
      <w:r>
        <w:rPr>
          <w:rFonts w:ascii="Calibri" w:cs="Calibri" w:eastAsia="Calibri" w:hAnsi="Calibri"/>
          <w:b/>
          <w:bCs/>
          <w:color w:val="1F2937"/>
          <w:sz w:val="22"/>
          <w:szCs w:val="22"/>
        </w:rPr>
        <w:t xml:space="preserve">Ne pas exécuter</w:t>
      </w:r>
      <w:r>
        <w:rPr>
          <w:rFonts w:ascii="Calibri" w:cs="Calibri" w:eastAsia="Calibri" w:hAnsi="Calibri"/>
          <w:color w:val="1F2937"/>
          <w:sz w:val="22"/>
          <w:szCs w:val="22"/>
        </w:rPr>
        <w:t xml:space="preserve">.</w:t>
      </w:r>
    </w:p>
    <w:p>
      <w:pPr>
        <w:pStyle w:val="ListParagraph"/>
        <w:numPr>
          <w:ilvl w:val="0"/>
          <w:numId w:val="2"/>
        </w:numPr>
        <w:spacing w:after="180" w:line="290"/>
      </w:pPr>
      <w:r>
        <w:rPr>
          <w:rFonts w:ascii="Calibri" w:cs="Calibri" w:eastAsia="Calibri" w:hAnsi="Calibri"/>
          <w:color w:val="1F2937"/>
          <w:sz w:val="22"/>
          <w:szCs w:val="22"/>
        </w:rPr>
        <w:t xml:space="preserve">La boîte se déploie et affiche le nom de l'application et l'éditeur, et un nouveau bouton apparaît : </w:t>
      </w:r>
      <w:r>
        <w:rPr>
          <w:rFonts w:ascii="Calibri" w:cs="Calibri" w:eastAsia="Calibri" w:hAnsi="Calibri"/>
          <w:b/>
          <w:bCs/>
          <w:color w:val="1F2937"/>
          <w:sz w:val="22"/>
          <w:szCs w:val="22"/>
        </w:rPr>
        <w:t xml:space="preserve">Exécuter quand même</w:t>
      </w:r>
      <w:r>
        <w:rPr>
          <w:rFonts w:ascii="Calibri" w:cs="Calibri" w:eastAsia="Calibri" w:hAnsi="Calibri"/>
          <w:color w:val="1F2937"/>
          <w:sz w:val="22"/>
          <w:szCs w:val="22"/>
        </w:rPr>
        <w:t xml:space="preserve">.</w:t>
      </w:r>
    </w:p>
    <w:p>
      <w:pPr>
        <w:pStyle w:val="ListParagraph"/>
        <w:numPr>
          <w:ilvl w:val="0"/>
          <w:numId w:val="2"/>
        </w:numPr>
        <w:spacing w:after="180" w:line="290"/>
      </w:pPr>
      <w:r>
        <w:rPr>
          <w:rFonts w:ascii="Calibri" w:cs="Calibri" w:eastAsia="Calibri" w:hAnsi="Calibri"/>
          <w:b/>
          <w:bCs/>
          <w:color w:val="1F2937"/>
          <w:sz w:val="22"/>
          <w:szCs w:val="22"/>
        </w:rPr>
        <w:t xml:space="preserve">Exécuter quand même</w:t>
      </w:r>
      <w:r>
        <w:rPr>
          <w:rFonts w:ascii="Calibri" w:cs="Calibri" w:eastAsia="Calibri" w:hAnsi="Calibri"/>
          <w:color w:val="1F2937"/>
          <w:sz w:val="22"/>
          <w:szCs w:val="22"/>
        </w:rPr>
        <w:t xml:space="preserve"> — cliquez dessus pour continuer. L'assistant d'installation s'ouvre normalement.</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Si vous ne voyez pas « Informations complémentaires »,  </w:t>
      </w:r>
      <w:r>
        <w:rPr>
          <w:rFonts w:ascii="Calibri" w:cs="Calibri" w:eastAsia="Calibri" w:hAnsi="Calibri"/>
          <w:color w:val="4B5563"/>
          <w:sz w:val="22"/>
          <w:szCs w:val="22"/>
        </w:rPr>
        <w:t xml:space="preserve"> la politique informatique de votre organisation l'a peut-être verrouillé de façon centralisée. Demandez à votre service informatique d'approuver l'installateur ou de l'ajouter à la liste autorisée dans la stratégie de groupe ou votre console de protection des postes.</w:t>
      </w:r>
    </w:p>
    <w:p>
      <w:pPr>
        <w:pStyle w:val="Heading3"/>
        <w:spacing w:after="120" w:before="260"/>
      </w:pPr>
      <w:r>
        <w:rPr>
          <w:rFonts w:ascii="Calibri" w:cs="Calibri" w:eastAsia="Calibri" w:hAnsi="Calibri"/>
          <w:b/>
          <w:bCs/>
          <w:color w:val="1F2937"/>
          <w:sz w:val="24"/>
          <w:szCs w:val="24"/>
        </w:rPr>
        <w:t xml:space="preserve">Si Microsoft Defender bloque ou supprime complètement le fichier</w:t>
      </w:r>
    </w:p>
    <w:p>
      <w:pPr>
        <w:spacing w:after="200" w:line="300"/>
      </w:pPr>
      <w:r>
        <w:rPr>
          <w:rFonts w:ascii="Calibri" w:cs="Calibri" w:eastAsia="Calibri" w:hAnsi="Calibri"/>
          <w:color w:val="1F2937"/>
          <w:sz w:val="22"/>
          <w:szCs w:val="22"/>
        </w:rPr>
        <w:t xml:space="preserve">C'est plus rare que l'invite SmartScreen ci-dessus, mais cela peut arriver — notamment sur une machine aux réglages antivirus plus stricts gérés par l'informatique — parce que l'installateur embarque un environnement Node.js complet, que certaines heuristiques antivirus considèrent avec une méfiance accrue uniquement à cause de ce dont il est capable, et non de ce qu'il fait réellement.</w:t>
      </w:r>
    </w:p>
    <w:p>
      <w:pPr>
        <w:pStyle w:val="ListParagraph"/>
        <w:numPr>
          <w:ilvl w:val="0"/>
          <w:numId w:val="3"/>
        </w:numPr>
        <w:spacing w:after="180" w:line="290"/>
      </w:pPr>
      <w:r>
        <w:rPr>
          <w:rFonts w:ascii="Calibri" w:cs="Calibri" w:eastAsia="Calibri" w:hAnsi="Calibri"/>
          <w:color w:val="1F2937"/>
          <w:sz w:val="22"/>
          <w:szCs w:val="22"/>
        </w:rPr>
        <w:t xml:space="preserve">Ouvrez </w:t>
      </w:r>
      <w:r>
        <w:rPr>
          <w:rFonts w:ascii="Calibri" w:cs="Calibri" w:eastAsia="Calibri" w:hAnsi="Calibri"/>
          <w:b/>
          <w:bCs/>
          <w:color w:val="1F2937"/>
          <w:sz w:val="22"/>
          <w:szCs w:val="22"/>
        </w:rPr>
        <w:t xml:space="preserve">Sécurité Windows</w:t>
      </w:r>
      <w:r>
        <w:rPr>
          <w:rFonts w:ascii="Calibri" w:cs="Calibri" w:eastAsia="Calibri" w:hAnsi="Calibri"/>
          <w:color w:val="1F2937"/>
          <w:sz w:val="22"/>
          <w:szCs w:val="22"/>
        </w:rPr>
        <w:t xml:space="preserve"> (cherchez-la dans le menu Démarrer).</w:t>
      </w:r>
    </w:p>
    <w:p>
      <w:pPr>
        <w:pStyle w:val="ListParagraph"/>
        <w:numPr>
          <w:ilvl w:val="0"/>
          <w:numId w:val="3"/>
        </w:numPr>
        <w:spacing w:after="180" w:line="290"/>
      </w:pPr>
      <w:r>
        <w:rPr>
          <w:rFonts w:ascii="Calibri" w:cs="Calibri" w:eastAsia="Calibri" w:hAnsi="Calibri"/>
          <w:color w:val="1F2937"/>
          <w:sz w:val="22"/>
          <w:szCs w:val="22"/>
        </w:rPr>
        <w:t xml:space="preserve">Allez dans </w:t>
      </w:r>
      <w:r>
        <w:rPr>
          <w:rFonts w:ascii="Calibri" w:cs="Calibri" w:eastAsia="Calibri" w:hAnsi="Calibri"/>
          <w:b/>
          <w:bCs/>
          <w:color w:val="1F2937"/>
          <w:sz w:val="22"/>
          <w:szCs w:val="22"/>
        </w:rPr>
        <w:t xml:space="preserve">Protection contre les virus et menaces</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Historique de protection</w:t>
      </w:r>
      <w:r>
        <w:rPr>
          <w:rFonts w:ascii="Calibri" w:cs="Calibri" w:eastAsia="Calibri" w:hAnsi="Calibri"/>
          <w:color w:val="1F2937"/>
          <w:sz w:val="22"/>
          <w:szCs w:val="22"/>
        </w:rPr>
        <w:t xml:space="preserve">.</w:t>
      </w:r>
    </w:p>
    <w:p>
      <w:pPr>
        <w:pStyle w:val="ListParagraph"/>
        <w:numPr>
          <w:ilvl w:val="0"/>
          <w:numId w:val="3"/>
        </w:numPr>
        <w:spacing w:after="180" w:line="290"/>
      </w:pPr>
      <w:r>
        <w:rPr>
          <w:rFonts w:ascii="Calibri" w:cs="Calibri" w:eastAsia="Calibri" w:hAnsi="Calibri"/>
          <w:color w:val="1F2937"/>
          <w:sz w:val="22"/>
          <w:szCs w:val="22"/>
        </w:rPr>
        <w:t xml:space="preserve">Trouvez l'installateur TASc6 dans la liste et, s'il a été mis en quarantaine ou supprimé, choisissez </w:t>
      </w:r>
      <w:r>
        <w:rPr>
          <w:rFonts w:ascii="Calibri" w:cs="Calibri" w:eastAsia="Calibri" w:hAnsi="Calibri"/>
          <w:b/>
          <w:bCs/>
          <w:color w:val="1F2937"/>
          <w:sz w:val="22"/>
          <w:szCs w:val="22"/>
        </w:rPr>
        <w:t xml:space="preserve">Restaurer</w:t>
      </w:r>
      <w:r>
        <w:rPr>
          <w:rFonts w:ascii="Calibri" w:cs="Calibri" w:eastAsia="Calibri" w:hAnsi="Calibri"/>
          <w:color w:val="1F2937"/>
          <w:sz w:val="22"/>
          <w:szCs w:val="22"/>
        </w:rPr>
        <w:t xml:space="preserve">.</w:t>
      </w:r>
    </w:p>
    <w:p>
      <w:pPr>
        <w:pStyle w:val="ListParagraph"/>
        <w:numPr>
          <w:ilvl w:val="0"/>
          <w:numId w:val="3"/>
        </w:numPr>
        <w:spacing w:after="180" w:line="290"/>
      </w:pPr>
      <w:r>
        <w:rPr>
          <w:rFonts w:ascii="Calibri" w:cs="Calibri" w:eastAsia="Calibri" w:hAnsi="Calibri"/>
          <w:color w:val="1F2937"/>
          <w:sz w:val="22"/>
          <w:szCs w:val="22"/>
        </w:rPr>
        <w:t xml:space="preserve">S'il est de nouveau bloqué à l'exécution suivante, ajoutez une exclusion : </w:t>
      </w:r>
      <w:r>
        <w:rPr>
          <w:rFonts w:ascii="Calibri" w:cs="Calibri" w:eastAsia="Calibri" w:hAnsi="Calibri"/>
          <w:b/>
          <w:bCs/>
          <w:color w:val="1F2937"/>
          <w:sz w:val="22"/>
          <w:szCs w:val="22"/>
        </w:rPr>
        <w:t xml:space="preserve">Paramètres de protection contre les virus et menaces</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Gérer les paramètres</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Ajouter ou supprimer des exclusions</w:t>
      </w:r>
      <w:r>
        <w:rPr>
          <w:rFonts w:ascii="Calibri" w:cs="Calibri" w:eastAsia="Calibri" w:hAnsi="Calibri"/>
          <w:color w:val="1F2937"/>
          <w:sz w:val="22"/>
          <w:szCs w:val="22"/>
        </w:rPr>
        <w:t xml:space="preserve"> → ajoutez le dossier dans lequel vous installez TASc6 (par ex. C:\TASc6).</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Sur un PC géré par l'entreprise,  </w:t>
      </w:r>
      <w:r>
        <w:rPr>
          <w:rFonts w:ascii="Calibri" w:cs="Calibri" w:eastAsia="Calibri" w:hAnsi="Calibri"/>
          <w:color w:val="4B5563"/>
          <w:sz w:val="22"/>
          <w:szCs w:val="22"/>
        </w:rPr>
        <w:t xml:space="preserve"> ces paramètres peuvent être contrôlés de façon centralisée et grisés — le service informatique devra effectuer ce changement ou approuver l'installateur pour vous.</w:t>
      </w:r>
    </w:p>
    <w:p>
      <w:pPr>
        <w:pStyle w:val="Heading2"/>
        <w:spacing w:after="160" w:before="360"/>
      </w:pPr>
      <w:r>
        <w:rPr>
          <w:rFonts w:ascii="Calibri" w:cs="Calibri" w:eastAsia="Calibri" w:hAnsi="Calibri"/>
          <w:b/>
          <w:bCs/>
          <w:color w:val="1F2937"/>
          <w:sz w:val="27"/>
          <w:szCs w:val="27"/>
        </w:rPr>
        <w:t xml:space="preserve">2.5 Autoriser TASc6 dans le Pare-feu Windows</w:t>
      </w:r>
    </w:p>
    <w:p>
      <w:pPr>
        <w:spacing w:after="200" w:line="300"/>
      </w:pPr>
      <w:r>
        <w:rPr>
          <w:rFonts w:ascii="Calibri" w:cs="Calibri" w:eastAsia="Calibri" w:hAnsi="Calibri"/>
          <w:color w:val="1F2937"/>
          <w:sz w:val="22"/>
          <w:szCs w:val="22"/>
        </w:rPr>
        <w:t xml:space="preserve">Cette étape compte davantage que les deux précédentes : tous les autres ordinateurs et tablettes de votre site accèdent à TASc6 par le réseau ; si le Pare-feu Windows le bloque, TASc6 fonctionnera parfaitement sur la machine hôte elle-même alors que personne d'autre sur le site ne pourra se connecter — un symptôme déroutant si l'on ne sait pas où chercher.</w:t>
      </w:r>
    </w:p>
    <w:p>
      <w:pPr>
        <w:spacing w:after="200" w:line="300"/>
      </w:pPr>
      <w:r>
        <w:rPr>
          <w:rFonts w:ascii="Calibri" w:cs="Calibri" w:eastAsia="Calibri" w:hAnsi="Calibri"/>
          <w:color w:val="1F2937"/>
          <w:sz w:val="22"/>
          <w:szCs w:val="22"/>
        </w:rPr>
        <w:t xml:space="preserve">Au premier démarrage de TASc6, Windows affiche normalement une invite intitulée « Le Pare-feu Windows Defender a bloqué certaines fonctionnalités de cette application », mentionnant Node.js.</w:t>
      </w:r>
    </w:p>
    <w:p>
      <w:pPr>
        <w:pStyle w:val="ListParagraph"/>
        <w:numPr>
          <w:ilvl w:val="0"/>
          <w:numId w:val="4"/>
        </w:numPr>
        <w:spacing w:after="180" w:line="290"/>
      </w:pPr>
      <w:r>
        <w:rPr>
          <w:rFonts w:ascii="Calibri" w:cs="Calibri" w:eastAsia="Calibri" w:hAnsi="Calibri"/>
          <w:color w:val="1F2937"/>
          <w:sz w:val="22"/>
          <w:szCs w:val="22"/>
        </w:rPr>
        <w:t xml:space="preserve">Cochez </w:t>
      </w:r>
      <w:r>
        <w:rPr>
          <w:rFonts w:ascii="Calibri" w:cs="Calibri" w:eastAsia="Calibri" w:hAnsi="Calibri"/>
          <w:b/>
          <w:bCs/>
          <w:color w:val="1F2937"/>
          <w:sz w:val="22"/>
          <w:szCs w:val="22"/>
        </w:rPr>
        <w:t xml:space="preserve">Réseaux privés</w:t>
      </w:r>
      <w:r>
        <w:rPr>
          <w:rFonts w:ascii="Calibri" w:cs="Calibri" w:eastAsia="Calibri" w:hAnsi="Calibri"/>
          <w:color w:val="1F2937"/>
          <w:sz w:val="22"/>
          <w:szCs w:val="22"/>
        </w:rPr>
        <w:t xml:space="preserve"> (et </w:t>
      </w:r>
      <w:r>
        <w:rPr>
          <w:rFonts w:ascii="Calibri" w:cs="Calibri" w:eastAsia="Calibri" w:hAnsi="Calibri"/>
          <w:b/>
          <w:bCs/>
          <w:color w:val="1F2937"/>
          <w:sz w:val="22"/>
          <w:szCs w:val="22"/>
        </w:rPr>
        <w:t xml:space="preserve">Réseaux publics</w:t>
      </w:r>
      <w:r>
        <w:rPr>
          <w:rFonts w:ascii="Calibri" w:cs="Calibri" w:eastAsia="Calibri" w:hAnsi="Calibri"/>
          <w:color w:val="1F2937"/>
          <w:sz w:val="22"/>
          <w:szCs w:val="22"/>
        </w:rPr>
        <w:t xml:space="preserve"> aussi, si le réseau de votre site est défini comme Public dans Windows).</w:t>
      </w:r>
    </w:p>
    <w:p>
      <w:pPr>
        <w:pStyle w:val="ListParagraph"/>
        <w:numPr>
          <w:ilvl w:val="0"/>
          <w:numId w:val="4"/>
        </w:numPr>
        <w:spacing w:after="180" w:line="290"/>
      </w:pPr>
      <w:r>
        <w:rPr>
          <w:rFonts w:ascii="Calibri" w:cs="Calibri" w:eastAsia="Calibri" w:hAnsi="Calibri"/>
          <w:color w:val="1F2937"/>
          <w:sz w:val="22"/>
          <w:szCs w:val="22"/>
        </w:rPr>
        <w:t xml:space="preserve">Cliquez sur </w:t>
      </w:r>
      <w:r>
        <w:rPr>
          <w:rFonts w:ascii="Calibri" w:cs="Calibri" w:eastAsia="Calibri" w:hAnsi="Calibri"/>
          <w:b/>
          <w:bCs/>
          <w:color w:val="1F2937"/>
          <w:sz w:val="22"/>
          <w:szCs w:val="22"/>
        </w:rPr>
        <w:t xml:space="preserve">Autoriser l'accès</w:t>
      </w:r>
      <w:r>
        <w:rPr>
          <w:rFonts w:ascii="Calibri" w:cs="Calibri" w:eastAsia="Calibri" w:hAnsi="Calibri"/>
          <w:color w:val="1F2937"/>
          <w:sz w:val="22"/>
          <w:szCs w:val="22"/>
        </w:rPr>
        <w:t xml:space="preserve">.</w:t>
      </w:r>
    </w:p>
    <w:p>
      <w:pPr>
        <w:spacing w:after="200" w:line="300"/>
      </w:pPr>
      <w:r>
        <w:rPr>
          <w:rFonts w:ascii="Calibri" w:cs="Calibri" w:eastAsia="Calibri" w:hAnsi="Calibri"/>
          <w:color w:val="1F2937"/>
          <w:sz w:val="22"/>
          <w:szCs w:val="22"/>
        </w:rPr>
        <w:t xml:space="preserve">Si cette invite a été manquée, ignorée ou refusée par erreur, corrigez-le ensuite :</w:t>
      </w:r>
    </w:p>
    <w:p>
      <w:pPr>
        <w:pStyle w:val="ListParagraph"/>
        <w:numPr>
          <w:ilvl w:val="0"/>
          <w:numId w:val="5"/>
        </w:numPr>
        <w:spacing w:after="180" w:line="290"/>
      </w:pPr>
      <w:r>
        <w:rPr>
          <w:rFonts w:ascii="Calibri" w:cs="Calibri" w:eastAsia="Calibri" w:hAnsi="Calibri"/>
          <w:color w:val="1F2937"/>
          <w:sz w:val="22"/>
          <w:szCs w:val="22"/>
        </w:rPr>
        <w:t xml:space="preserve">Ouvrez </w:t>
      </w:r>
      <w:r>
        <w:rPr>
          <w:rFonts w:ascii="Calibri" w:cs="Calibri" w:eastAsia="Calibri" w:hAnsi="Calibri"/>
          <w:b/>
          <w:bCs/>
          <w:color w:val="1F2937"/>
          <w:sz w:val="22"/>
          <w:szCs w:val="22"/>
        </w:rPr>
        <w:t xml:space="preserve">Sécurité Windows</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Pare-feu et protection du réseau</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Autoriser une application via le pare-feu</w:t>
      </w:r>
      <w:r>
        <w:rPr>
          <w:rFonts w:ascii="Calibri" w:cs="Calibri" w:eastAsia="Calibri" w:hAnsi="Calibri"/>
          <w:color w:val="1F2937"/>
          <w:sz w:val="22"/>
          <w:szCs w:val="22"/>
        </w:rPr>
        <w:t xml:space="preserve">.</w:t>
      </w:r>
    </w:p>
    <w:p>
      <w:pPr>
        <w:pStyle w:val="ListParagraph"/>
        <w:numPr>
          <w:ilvl w:val="0"/>
          <w:numId w:val="5"/>
        </w:numPr>
        <w:spacing w:after="180" w:line="290"/>
      </w:pPr>
      <w:r>
        <w:rPr>
          <w:rFonts w:ascii="Calibri" w:cs="Calibri" w:eastAsia="Calibri" w:hAnsi="Calibri"/>
          <w:color w:val="1F2937"/>
          <w:sz w:val="22"/>
          <w:szCs w:val="22"/>
        </w:rPr>
        <w:t xml:space="preserve">Cliquez sur </w:t>
      </w:r>
      <w:r>
        <w:rPr>
          <w:rFonts w:ascii="Calibri" w:cs="Calibri" w:eastAsia="Calibri" w:hAnsi="Calibri"/>
          <w:b/>
          <w:bCs/>
          <w:color w:val="1F2937"/>
          <w:sz w:val="22"/>
          <w:szCs w:val="22"/>
        </w:rPr>
        <w:t xml:space="preserve">Modifier les paramètres</w:t>
      </w:r>
      <w:r>
        <w:rPr>
          <w:rFonts w:ascii="Calibri" w:cs="Calibri" w:eastAsia="Calibri" w:hAnsi="Calibri"/>
          <w:color w:val="1F2937"/>
          <w:sz w:val="22"/>
          <w:szCs w:val="22"/>
        </w:rPr>
        <w:t xml:space="preserve"> (droits d'administrateur requis), trouvez </w:t>
      </w:r>
      <w:r>
        <w:rPr>
          <w:rFonts w:ascii="Calibri" w:cs="Calibri" w:eastAsia="Calibri" w:hAnsi="Calibri"/>
          <w:b/>
          <w:bCs/>
          <w:color w:val="1F2937"/>
          <w:sz w:val="22"/>
          <w:szCs w:val="22"/>
        </w:rPr>
        <w:t xml:space="preserve">Node.js</w:t>
      </w:r>
      <w:r>
        <w:rPr>
          <w:rFonts w:ascii="Calibri" w:cs="Calibri" w:eastAsia="Calibri" w:hAnsi="Calibri"/>
          <w:color w:val="1F2937"/>
          <w:sz w:val="22"/>
          <w:szCs w:val="22"/>
        </w:rPr>
        <w:t xml:space="preserve"> dans la liste — ou cliquez sur </w:t>
      </w:r>
      <w:r>
        <w:rPr>
          <w:rFonts w:ascii="Calibri" w:cs="Calibri" w:eastAsia="Calibri" w:hAnsi="Calibri"/>
          <w:b/>
          <w:bCs/>
          <w:color w:val="1F2937"/>
          <w:sz w:val="22"/>
          <w:szCs w:val="22"/>
        </w:rPr>
        <w:t xml:space="preserve">Autoriser une autre application…</w:t>
      </w:r>
      <w:r>
        <w:rPr>
          <w:rFonts w:ascii="Calibri" w:cs="Calibri" w:eastAsia="Calibri" w:hAnsi="Calibri"/>
          <w:color w:val="1F2937"/>
          <w:sz w:val="22"/>
          <w:szCs w:val="22"/>
        </w:rPr>
        <w:t xml:space="preserve"> et accédez à node\node.exe dans le dossier d'installation de TASc6 s'il n'apparaît pas.</w:t>
      </w:r>
    </w:p>
    <w:p>
      <w:pPr>
        <w:pStyle w:val="ListParagraph"/>
        <w:numPr>
          <w:ilvl w:val="0"/>
          <w:numId w:val="5"/>
        </w:numPr>
        <w:spacing w:after="180" w:line="290"/>
      </w:pPr>
      <w:r>
        <w:rPr>
          <w:rFonts w:ascii="Calibri" w:cs="Calibri" w:eastAsia="Calibri" w:hAnsi="Calibri"/>
          <w:color w:val="1F2937"/>
          <w:sz w:val="22"/>
          <w:szCs w:val="22"/>
        </w:rPr>
        <w:t xml:space="preserve">Cochez </w:t>
      </w:r>
      <w:r>
        <w:rPr>
          <w:rFonts w:ascii="Calibri" w:cs="Calibri" w:eastAsia="Calibri" w:hAnsi="Calibri"/>
          <w:b/>
          <w:bCs/>
          <w:color w:val="1F2937"/>
          <w:sz w:val="22"/>
          <w:szCs w:val="22"/>
        </w:rPr>
        <w:t xml:space="preserve">Privé</w:t>
      </w:r>
      <w:r>
        <w:rPr>
          <w:rFonts w:ascii="Calibri" w:cs="Calibri" w:eastAsia="Calibri" w:hAnsi="Calibri"/>
          <w:color w:val="1F2937"/>
          <w:sz w:val="22"/>
          <w:szCs w:val="22"/>
        </w:rPr>
        <w:t xml:space="preserve"> et </w:t>
      </w:r>
      <w:r>
        <w:rPr>
          <w:rFonts w:ascii="Calibri" w:cs="Calibri" w:eastAsia="Calibri" w:hAnsi="Calibri"/>
          <w:b/>
          <w:bCs/>
          <w:color w:val="1F2937"/>
          <w:sz w:val="22"/>
          <w:szCs w:val="22"/>
        </w:rPr>
        <w:t xml:space="preserve">Public</w:t>
      </w:r>
      <w:r>
        <w:rPr>
          <w:rFonts w:ascii="Calibri" w:cs="Calibri" w:eastAsia="Calibri" w:hAnsi="Calibri"/>
          <w:color w:val="1F2937"/>
          <w:sz w:val="22"/>
          <w:szCs w:val="22"/>
        </w:rPr>
        <w:t xml:space="preserve">, puis cliquez sur </w:t>
      </w:r>
      <w:r>
        <w:rPr>
          <w:rFonts w:ascii="Calibri" w:cs="Calibri" w:eastAsia="Calibri" w:hAnsi="Calibri"/>
          <w:b/>
          <w:bCs/>
          <w:color w:val="1F2937"/>
          <w:sz w:val="22"/>
          <w:szCs w:val="22"/>
        </w:rPr>
        <w:t xml:space="preserve">OK</w:t>
      </w:r>
      <w:r>
        <w:rPr>
          <w:rFonts w:ascii="Calibri" w:cs="Calibri" w:eastAsia="Calibri" w:hAnsi="Calibri"/>
          <w:color w:val="1F2937"/>
          <w:sz w:val="22"/>
          <w:szCs w:val="22"/>
        </w:rPr>
        <w:t xml:space="preserve">.</w:t>
      </w:r>
    </w:p>
    <w:p>
      <w:pPr>
        <w:pStyle w:val="Heading2"/>
        <w:spacing w:after="160" w:before="360"/>
      </w:pPr>
      <w:r>
        <w:rPr>
          <w:rFonts w:ascii="Calibri" w:cs="Calibri" w:eastAsia="Calibri" w:hAnsi="Calibri"/>
          <w:b/>
          <w:bCs/>
          <w:color w:val="1F2937"/>
          <w:sz w:val="27"/>
          <w:szCs w:val="27"/>
        </w:rPr>
        <w:t xml:space="preserve">2.6 Premier lancement</w:t>
      </w:r>
    </w:p>
    <w:p>
      <w:pPr>
        <w:spacing w:after="200" w:line="300"/>
      </w:pPr>
      <w:r>
        <w:rPr>
          <w:rFonts w:ascii="Calibri" w:cs="Calibri" w:eastAsia="Calibri" w:hAnsi="Calibri"/>
          <w:color w:val="1F2937"/>
          <w:sz w:val="22"/>
          <w:szCs w:val="22"/>
        </w:rPr>
        <w:t xml:space="preserve">Une fois installé, TASc6 s'exécute discrètement en arrière-plan et affiche une petite icône dans la zone de notification Windows (près de l'horloge). Faites un clic droit dessus pour Start, Stop et un lien d'ouverture de TASc6 dans votre navigateur.</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Laissez-le en marche.  </w:t>
      </w:r>
      <w:r>
        <w:rPr>
          <w:rFonts w:ascii="Calibri" w:cs="Calibri" w:eastAsia="Calibri" w:hAnsi="Calibri"/>
          <w:color w:val="4B5563"/>
          <w:sz w:val="22"/>
          <w:szCs w:val="22"/>
        </w:rPr>
        <w:t xml:space="preserve"> La machine hôte doit rester allumée pour que tous les autres puissent accéder à TASc6 sur le site — voir le chapitre 3 pour son intégration dans le réseau de votre site.</w:t>
      </w:r>
    </w:p>
    <w:p>
      <w:pPr>
        <w:spacing w:after="200" w:line="300"/>
      </w:pPr>
      <w:r>
        <w:rPr>
          <w:rFonts w:ascii="Calibri" w:cs="Calibri" w:eastAsia="Calibri" w:hAnsi="Calibri"/>
          <w:color w:val="1F2937"/>
          <w:sz w:val="22"/>
          <w:szCs w:val="22"/>
        </w:rPr>
        <w:t xml:space="preserve">Ouvrez un navigateur sur la machine hôte et allez à http://localhost:3000 pour vous connecter pour la première fois.</w:t>
      </w:r>
    </w:p>
    <w:p>
      <w:pPr>
        <w:pStyle w:val="Heading2"/>
        <w:spacing w:after="160" w:before="360"/>
      </w:pPr>
      <w:r>
        <w:rPr>
          <w:rFonts w:ascii="Calibri" w:cs="Calibri" w:eastAsia="Calibri" w:hAnsi="Calibri"/>
          <w:b/>
          <w:bCs/>
          <w:color w:val="1F2937"/>
          <w:sz w:val="27"/>
          <w:szCs w:val="27"/>
        </w:rPr>
        <w:t xml:space="preserve">2.7 Activer votre licence</w:t>
      </w:r>
    </w:p>
    <w:p>
      <w:pPr>
        <w:spacing w:after="200" w:line="300"/>
      </w:pPr>
      <w:r>
        <w:rPr>
          <w:rFonts w:ascii="Calibri" w:cs="Calibri" w:eastAsia="Calibri" w:hAnsi="Calibri"/>
          <w:color w:val="1F2937"/>
          <w:sz w:val="22"/>
          <w:szCs w:val="22"/>
        </w:rPr>
        <w:t xml:space="preserve">TASc6 fonctionne en essai complet de 14 jours, sans rien à débloquer. Quand vous serez prêt à acheter, rendez-vous sur la page de licence avec l'identifiant d'installation affiché sur http://localhost:3000/activate sur la machine hôte. Collez la clé reçue sur cette même page pour l'activer — cela débloque TASc6 pour une année complète.</w:t>
      </w:r>
    </w:p>
    <w:p>
      <w:pPr>
        <w:spacing w:after="200" w:line="300"/>
      </w:pPr>
      <w:r>
        <w:rPr>
          <w:rFonts w:ascii="Calibri" w:cs="Calibri" w:eastAsia="Calibri" w:hAnsi="Calibri"/>
          <w:color w:val="1F2937"/>
          <w:sz w:val="22"/>
          <w:szCs w:val="22"/>
        </w:rPr>
        <w:t xml:space="preserve">Besoin d'aide pour l'installation ? Écrivez à </w:t>
      </w:r>
      <w:r>
        <w:rPr>
          <w:rFonts w:ascii="Calibri" w:cs="Calibri" w:eastAsia="Calibri" w:hAnsi="Calibri"/>
          <w:b/>
          <w:bCs/>
          <w:color w:val="1F2937"/>
          <w:sz w:val="22"/>
          <w:szCs w:val="22"/>
        </w:rPr>
        <w:t xml:space="preserve">licensing@tasc6.net</w:t>
      </w:r>
      <w:r>
        <w:rPr>
          <w:rFonts w:ascii="Calibri" w:cs="Calibri" w:eastAsia="Calibri" w:hAnsi="Calibri"/>
          <w:color w:val="1F2937"/>
          <w:sz w:val="22"/>
          <w:szCs w:val="22"/>
        </w:rPr>
        <w:t xml:space="preserve"> et nous vous guiderons.</w:t>
      </w:r>
    </w:p>
    <w:p>
      <w:pPr>
        <w:pStyle w:val="Heading2"/>
        <w:spacing w:after="160" w:before="360"/>
      </w:pPr>
      <w:r>
        <w:rPr>
          <w:rFonts w:ascii="Calibri" w:cs="Calibri" w:eastAsia="Calibri" w:hAnsi="Calibri"/>
          <w:b/>
          <w:bCs/>
          <w:color w:val="1F2937"/>
          <w:sz w:val="27"/>
          <w:szCs w:val="27"/>
        </w:rPr>
        <w:t xml:space="preserve">2.8 Désinstaller ou réinstaller</w:t>
      </w:r>
    </w:p>
    <w:p>
      <w:pPr>
        <w:spacing w:after="200" w:line="300"/>
      </w:pPr>
      <w:r>
        <w:rPr>
          <w:rFonts w:ascii="Calibri" w:cs="Calibri" w:eastAsia="Calibri" w:hAnsi="Calibri"/>
          <w:color w:val="1F2937"/>
          <w:sz w:val="22"/>
          <w:szCs w:val="22"/>
        </w:rPr>
        <w:t xml:space="preserve">Fermez TASc6 depuis l'icône de la zone de notification (Stop) avant de désinstaller ou de réinstaller. Si Windows indique ensuite qu'un fichier de base de données ou de programme est « en cours d'utilisation » alors que vous avez désinstallé, une copie de Node.js de TASc6 tourne encore en arrière-plan — ouvrez le Gestionnaire des tâches, allez dans l'onglet Détails et terminez tout processus node.exe avant de réessayer.</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3. Configurer votre site</w:t>
      </w:r>
    </w:p>
    <w:p>
      <w:pPr>
        <w:spacing w:after="200" w:line="300"/>
      </w:pPr>
      <w:r>
        <w:rPr>
          <w:rFonts w:ascii="Calibri" w:cs="Calibri" w:eastAsia="Calibri" w:hAnsi="Calibri"/>
          <w:color w:val="1F2937"/>
          <w:sz w:val="22"/>
          <w:szCs w:val="22"/>
        </w:rPr>
        <w:t xml:space="preserve">TASc6 est un seul système en direct, consulté de partout sur le site. Réussir cela dépend davantage de la disposition de votre réseau et de vos appareils que du logiciel lui-même.</w:t>
      </w:r>
    </w:p>
    <w:p>
      <w:pPr>
        <w:pStyle w:val="Heading2"/>
        <w:spacing w:after="160" w:before="360"/>
      </w:pPr>
      <w:r>
        <w:rPr>
          <w:rFonts w:ascii="Calibri" w:cs="Calibri" w:eastAsia="Calibri" w:hAnsi="Calibri"/>
          <w:b/>
          <w:bCs/>
          <w:color w:val="1F2937"/>
          <w:sz w:val="27"/>
          <w:szCs w:val="27"/>
        </w:rPr>
        <w:t xml:space="preserve">3.1 L'architecture de base</w:t>
      </w:r>
    </w:p>
    <w:p>
      <w:pPr>
        <w:spacing w:after="200" w:line="300"/>
      </w:pPr>
      <w:r>
        <w:rPr>
          <w:rFonts w:ascii="Calibri" w:cs="Calibri" w:eastAsia="Calibri" w:hAnsi="Calibri"/>
          <w:b/>
          <w:bCs/>
          <w:color w:val="1F2937"/>
          <w:sz w:val="22"/>
          <w:szCs w:val="22"/>
        </w:rPr>
        <w:t xml:space="preserve">La machine hôte.</w:t>
      </w:r>
      <w:r>
        <w:rPr>
          <w:rFonts w:ascii="Calibri" w:cs="Calibri" w:eastAsia="Calibri" w:hAnsi="Calibri"/>
          <w:color w:val="1F2937"/>
          <w:sz w:val="22"/>
          <w:szCs w:val="22"/>
        </w:rPr>
        <w:t xml:space="preserve"> Un ordinateur ou serveur Windows exécute l'installateur TASc6 et reste allumé — c'est avec lui que dialoguent tous les autres appareils du site. Il n'a pas besoin d'être puissant ; il doit être fiable et rester en marche.</w:t>
      </w:r>
    </w:p>
    <w:p>
      <w:pPr>
        <w:spacing w:after="200" w:line="300"/>
      </w:pPr>
      <w:r>
        <w:rPr>
          <w:rFonts w:ascii="Calibri" w:cs="Calibri" w:eastAsia="Calibri" w:hAnsi="Calibri"/>
          <w:b/>
          <w:bCs/>
          <w:color w:val="1F2937"/>
          <w:sz w:val="22"/>
          <w:szCs w:val="22"/>
        </w:rPr>
        <w:t xml:space="preserve">Le réseau.</w:t>
      </w:r>
      <w:r>
        <w:rPr>
          <w:rFonts w:ascii="Calibri" w:cs="Calibri" w:eastAsia="Calibri" w:hAnsi="Calibri"/>
          <w:color w:val="1F2937"/>
          <w:sz w:val="22"/>
          <w:szCs w:val="22"/>
        </w:rPr>
        <w:t xml:space="preserve"> Cet hôte, ainsi que chaque ordinateur et tablette qui doit l'atteindre, doivent se trouver sur le même réseau — idéalement un VLAN dédié, séparé du trafic bureautique général et invité, afin que les opérations du dépôt ne soient pas en concurrence avec le bruit réseau habituel.</w:t>
      </w:r>
    </w:p>
    <w:p>
      <w:pPr>
        <w:pStyle w:val="Heading2"/>
        <w:spacing w:after="160" w:before="360"/>
      </w:pPr>
      <w:r>
        <w:rPr>
          <w:rFonts w:ascii="Calibri" w:cs="Calibri" w:eastAsia="Calibri" w:hAnsi="Calibri"/>
          <w:b/>
          <w:bCs/>
          <w:color w:val="1F2937"/>
          <w:sz w:val="27"/>
          <w:szCs w:val="27"/>
        </w:rPr>
        <w:t xml:space="preserve">3.2 Appareils par rôle</w:t>
      </w:r>
    </w:p>
    <w:p>
      <w:pPr>
        <w:spacing w:after="200" w:line="300"/>
      </w:pPr>
      <w:r>
        <w:rPr>
          <w:rFonts w:ascii="Calibri" w:cs="Calibri" w:eastAsia="Calibri" w:hAnsi="Calibri"/>
          <w:b/>
          <w:bCs/>
          <w:color w:val="1F2937"/>
          <w:sz w:val="22"/>
          <w:szCs w:val="22"/>
        </w:rPr>
        <w:t xml:space="preserve">Ordinateurs —</w:t>
      </w:r>
      <w:r>
        <w:rPr>
          <w:rFonts w:ascii="Calibri" w:cs="Calibri" w:eastAsia="Calibri" w:hAnsi="Calibri"/>
          <w:color w:val="1F2937"/>
          <w:sz w:val="22"/>
          <w:szCs w:val="22"/>
        </w:rPr>
        <w:t xml:space="preserve"> Les responsables de chargement, Fleet, Admin, Planner et VMU travaillent à un poste fixe : un ordinateur de bureau ou portable standard, sur le réseau filaire ou Wi-Fi du bureau, suffit. Chacun ouvre simplement un navigateur pointant vers la machine hôte.</w:t>
      </w:r>
    </w:p>
    <w:p>
      <w:pPr>
        <w:spacing w:after="200" w:line="300"/>
      </w:pPr>
      <w:r>
        <w:rPr>
          <w:rFonts w:ascii="Calibri" w:cs="Calibri" w:eastAsia="Calibri" w:hAnsi="Calibri"/>
          <w:b/>
          <w:bCs/>
          <w:color w:val="1F2937"/>
          <w:sz w:val="22"/>
          <w:szCs w:val="22"/>
        </w:rPr>
        <w:t xml:space="preserve">Tablettes —</w:t>
      </w:r>
      <w:r>
        <w:rPr>
          <w:rFonts w:ascii="Calibri" w:cs="Calibri" w:eastAsia="Calibri" w:hAnsi="Calibri"/>
          <w:color w:val="1F2937"/>
          <w:sz w:val="22"/>
          <w:szCs w:val="22"/>
        </w:rPr>
        <w:t xml:space="preserve"> Les Shunters se déplacent dans le dépôt au lieu d'être assis à un bureau ; leur écran est donc une tablette montée dans la cabine du tracteur. Elle se connecte comme un ordinateur — en Wi-Fi plutôt que par câble — d'où l'importance de la couverture sur tout le dépôt pour ce rôle en particulier.</w:t>
      </w:r>
    </w:p>
    <w:p>
      <w:pPr>
        <w:pStyle w:val="ListParagraph"/>
        <w:numPr>
          <w:ilvl w:val="0"/>
          <w:numId w:val="6"/>
        </w:numPr>
        <w:spacing w:after="120" w:line="290"/>
      </w:pPr>
      <w:r>
        <w:rPr>
          <w:rFonts w:ascii="Calibri" w:cs="Calibri" w:eastAsia="Calibri" w:hAnsi="Calibri"/>
          <w:color w:val="1F2937"/>
          <w:sz w:val="22"/>
          <w:szCs w:val="22"/>
        </w:rPr>
        <w:t xml:space="preserve">Idéalement 15,6″ ou plus</w:t>
      </w:r>
    </w:p>
    <w:p>
      <w:pPr>
        <w:pStyle w:val="ListParagraph"/>
        <w:numPr>
          <w:ilvl w:val="0"/>
          <w:numId w:val="6"/>
        </w:numPr>
        <w:spacing w:after="120" w:line="290"/>
      </w:pPr>
      <w:r>
        <w:rPr>
          <w:rFonts w:ascii="Calibri" w:cs="Calibri" w:eastAsia="Calibri" w:hAnsi="Calibri"/>
          <w:color w:val="1F2937"/>
          <w:sz w:val="22"/>
          <w:szCs w:val="22"/>
        </w:rPr>
        <w:t xml:space="preserve">Les tablettes Android dépouillées pour n'afficher que TASc6 fonctionnent bien — tout matériel doté d'un navigateur et du Wi-Fi convient</w:t>
      </w:r>
    </w:p>
    <w:p>
      <w:pPr>
        <w:pStyle w:val="ListParagraph"/>
        <w:numPr>
          <w:ilvl w:val="0"/>
          <w:numId w:val="6"/>
        </w:numPr>
        <w:spacing w:after="120" w:line="290"/>
      </w:pPr>
      <w:r>
        <w:rPr>
          <w:rFonts w:ascii="Calibri" w:cs="Calibri" w:eastAsia="Calibri" w:hAnsi="Calibri"/>
          <w:color w:val="1F2937"/>
          <w:sz w:val="22"/>
          <w:szCs w:val="22"/>
        </w:rPr>
        <w:t xml:space="preserve">Il faut du signal partout où va le tracteur, pas seulement près des bureaux</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Couverture sans fil.  </w:t>
      </w:r>
      <w:r>
        <w:rPr>
          <w:rFonts w:ascii="Calibri" w:cs="Calibri" w:eastAsia="Calibri" w:hAnsi="Calibri"/>
          <w:color w:val="4B5563"/>
          <w:sz w:val="22"/>
          <w:szCs w:val="22"/>
        </w:rPr>
        <w:t xml:space="preserve"> Comme les Shunters consultent TASc6 depuis un véhicule en mouvement, un Wi-Fi irrégulier n'importe où sur le site se traduit aussitôt par un écran qui se coupe dans un tracteur. Des points d'accès pour l'extérieur, placés pour couvrir toute l'emprise du dépôt — barrières, zones de chargement, recoins les plus éloignés — sont ce qui rend cela fiable. Il est bien plus simple d'étudier et de placer correctement les points d'accès dès le départ que de traquer une zone morte alors que les Shunters s'y fient déjà. Si vous ignorez combien il en faut pour votre dépôt, une étude de site par votre installateur réseau vaut son coût.</w:t>
      </w:r>
    </w:p>
    <w:p>
      <w:pPr>
        <w:pStyle w:val="Heading2"/>
        <w:spacing w:after="160" w:before="360"/>
      </w:pPr>
      <w:r>
        <w:rPr>
          <w:rFonts w:ascii="Calibri" w:cs="Calibri" w:eastAsia="Calibri" w:hAnsi="Calibri"/>
          <w:b/>
          <w:bCs/>
          <w:color w:val="1F2937"/>
          <w:sz w:val="27"/>
          <w:szCs w:val="27"/>
        </w:rPr>
        <w:t xml:space="preserve">3.3 Pas à pas</w:t>
      </w:r>
    </w:p>
    <w:p>
      <w:pPr>
        <w:pStyle w:val="ListParagraph"/>
        <w:numPr>
          <w:ilvl w:val="0"/>
          <w:numId w:val="7"/>
        </w:numPr>
        <w:spacing w:after="180" w:line="290"/>
      </w:pPr>
      <w:r>
        <w:rPr>
          <w:rFonts w:ascii="Calibri" w:cs="Calibri" w:eastAsia="Calibri" w:hAnsi="Calibri"/>
          <w:color w:val="1F2937"/>
          <w:sz w:val="22"/>
          <w:szCs w:val="22"/>
        </w:rPr>
        <w:t xml:space="preserve">Préparer le réseau — créez un VLAN dédié au trafic TASc6, séparé du Wi-Fi bureautique général et invité.</w:t>
      </w:r>
    </w:p>
    <w:p>
      <w:pPr>
        <w:pStyle w:val="ListParagraph"/>
        <w:numPr>
          <w:ilvl w:val="0"/>
          <w:numId w:val="7"/>
        </w:numPr>
        <w:spacing w:after="180" w:line="290"/>
      </w:pPr>
      <w:r>
        <w:rPr>
          <w:rFonts w:ascii="Calibri" w:cs="Calibri" w:eastAsia="Calibri" w:hAnsi="Calibri"/>
          <w:color w:val="1F2937"/>
          <w:sz w:val="22"/>
          <w:szCs w:val="22"/>
        </w:rPr>
        <w:t xml:space="preserve">Placer les points d'accès sans fil — installez des points d'accès extérieurs couvrant toute l'emprise du dépôt, reliés à ce même VLAN. Parcourez ensuite tout le dépôt à pied ou en véhicule pour vérifier qu'il n'y a pas de zone morte sur un trajet que suivra réellement un tracteur.</w:t>
      </w:r>
    </w:p>
    <w:p>
      <w:pPr>
        <w:pStyle w:val="ListParagraph"/>
        <w:numPr>
          <w:ilvl w:val="0"/>
          <w:numId w:val="7"/>
        </w:numPr>
        <w:spacing w:after="180" w:line="290"/>
      </w:pPr>
      <w:r>
        <w:rPr>
          <w:rFonts w:ascii="Calibri" w:cs="Calibri" w:eastAsia="Calibri" w:hAnsi="Calibri"/>
          <w:color w:val="1F2937"/>
          <w:sz w:val="22"/>
          <w:szCs w:val="22"/>
        </w:rPr>
        <w:t xml:space="preserve">Choisir la machine hôte — une machine Windows 10, 11 ou Server, ordinateur ou petit serveur. Reliez-la par câble si possible et laissez-la allumée.</w:t>
      </w:r>
    </w:p>
    <w:p>
      <w:pPr>
        <w:pStyle w:val="ListParagraph"/>
        <w:numPr>
          <w:ilvl w:val="0"/>
          <w:numId w:val="7"/>
        </w:numPr>
        <w:spacing w:after="180" w:line="290"/>
      </w:pPr>
      <w:r>
        <w:rPr>
          <w:rFonts w:ascii="Calibri" w:cs="Calibri" w:eastAsia="Calibri" w:hAnsi="Calibri"/>
          <w:color w:val="1F2937"/>
          <w:sz w:val="22"/>
          <w:szCs w:val="22"/>
        </w:rPr>
        <w:t xml:space="preserve">Télécharger et exécuter l'installateur — voir le chapitre 2.</w:t>
      </w:r>
    </w:p>
    <w:p>
      <w:pPr>
        <w:pStyle w:val="ListParagraph"/>
        <w:numPr>
          <w:ilvl w:val="0"/>
          <w:numId w:val="7"/>
        </w:numPr>
        <w:spacing w:after="180" w:line="290"/>
      </w:pPr>
      <w:r>
        <w:rPr>
          <w:rFonts w:ascii="Calibri" w:cs="Calibri" w:eastAsia="Calibri" w:hAnsi="Calibri"/>
          <w:color w:val="1F2937"/>
          <w:sz w:val="22"/>
          <w:szCs w:val="22"/>
        </w:rPr>
        <w:t xml:space="preserve">Donner à la machine hôte une adresse fixe — une IP statique ou une réservation DHCP sur votre routeur, pour que son adresse ne change jamais. Tous les autres appareils du site pointent vers cette adresse.</w:t>
      </w:r>
    </w:p>
    <w:p>
      <w:pPr>
        <w:pStyle w:val="ListParagraph"/>
        <w:numPr>
          <w:ilvl w:val="0"/>
          <w:numId w:val="7"/>
        </w:numPr>
        <w:spacing w:after="180" w:line="290"/>
      </w:pPr>
      <w:r>
        <w:rPr>
          <w:rFonts w:ascii="Calibri" w:cs="Calibri" w:eastAsia="Calibri" w:hAnsi="Calibri"/>
          <w:color w:val="1F2937"/>
          <w:sz w:val="22"/>
          <w:szCs w:val="22"/>
        </w:rPr>
        <w:t xml:space="preserve">Connecter les ordinateurs de bureau — sur chaque poste de responsable de chargement, Fleet, Admin, Planner ou VMU, ouvrez un navigateur à l'adresse de la machine hôte (par ex. http://192.168.x.x:3000), connectez-vous avec le compte du rôle et ajoutez-la aux favoris.</w:t>
      </w:r>
    </w:p>
    <w:p>
      <w:pPr>
        <w:pStyle w:val="ListParagraph"/>
        <w:numPr>
          <w:ilvl w:val="0"/>
          <w:numId w:val="7"/>
        </w:numPr>
        <w:spacing w:after="180" w:line="290"/>
      </w:pPr>
      <w:r>
        <w:rPr>
          <w:rFonts w:ascii="Calibri" w:cs="Calibri" w:eastAsia="Calibri" w:hAnsi="Calibri"/>
          <w:color w:val="1F2937"/>
          <w:sz w:val="22"/>
          <w:szCs w:val="22"/>
        </w:rPr>
        <w:t xml:space="preserve">Connecter et monter les tablettes — connectez chaque tablette au Wi-Fi du dépôt, ouvrez un navigateur à la même adresse d'hôte, connectez-vous avec le compte Shunter et fixez la tablette dans la cabine du tracteur.</w:t>
      </w:r>
    </w:p>
    <w:p>
      <w:pPr>
        <w:pStyle w:val="ListParagraph"/>
        <w:numPr>
          <w:ilvl w:val="0"/>
          <w:numId w:val="7"/>
        </w:numPr>
        <w:spacing w:after="180" w:line="290"/>
      </w:pPr>
      <w:r>
        <w:rPr>
          <w:rFonts w:ascii="Calibri" w:cs="Calibri" w:eastAsia="Calibri" w:hAnsi="Calibri"/>
          <w:color w:val="1F2937"/>
          <w:sz w:val="22"/>
          <w:szCs w:val="22"/>
        </w:rPr>
        <w:t xml:space="preserve">Parcourir le site avant la mise en service — conduisez un tracteur dans tout le dépôt avec une tablette en marche, en vérifiant que la connexion tient partout où un Shunter travaillera réellement, pas seulement près des bureaux.</w:t>
      </w:r>
    </w:p>
    <w:p>
      <w:pPr>
        <w:pStyle w:val="ListParagraph"/>
        <w:numPr>
          <w:ilvl w:val="0"/>
          <w:numId w:val="7"/>
        </w:numPr>
        <w:spacing w:after="180" w:line="290"/>
      </w:pPr>
      <w:r>
        <w:rPr>
          <w:rFonts w:ascii="Calibri" w:cs="Calibri" w:eastAsia="Calibri" w:hAnsi="Calibri"/>
          <w:color w:val="1F2937"/>
          <w:sz w:val="22"/>
          <w:szCs w:val="22"/>
        </w:rPr>
        <w:t xml:space="preserve">Activer votre licence — voir le chapitre 2.7.</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Vous planifiez un déploiement multi-sites ?  </w:t>
      </w:r>
      <w:r>
        <w:rPr>
          <w:rFonts w:ascii="Calibri" w:cs="Calibri" w:eastAsia="Calibri" w:hAnsi="Calibri"/>
          <w:color w:val="4B5563"/>
          <w:sz w:val="22"/>
          <w:szCs w:val="22"/>
        </w:rPr>
        <w:t xml:space="preserve"> Écrivez à info@tasc6.net et nous vous aiderons à planifier le réseau et les appareils avant tout achat.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4. Prise en main</w:t>
      </w:r>
    </w:p>
    <w:p>
      <w:pPr>
        <w:pStyle w:val="Heading2"/>
        <w:spacing w:after="160" w:before="360"/>
      </w:pPr>
      <w:r>
        <w:rPr>
          <w:rFonts w:ascii="Calibri" w:cs="Calibri" w:eastAsia="Calibri" w:hAnsi="Calibri"/>
          <w:b/>
          <w:bCs/>
          <w:color w:val="1F2937"/>
          <w:sz w:val="27"/>
          <w:szCs w:val="27"/>
        </w:rPr>
        <w:t xml:space="preserve">4.1 Connexion</w:t>
      </w:r>
    </w:p>
    <w:p>
      <w:pPr>
        <w:spacing w:after="200" w:line="300"/>
      </w:pPr>
      <w:r>
        <w:rPr>
          <w:rFonts w:ascii="Calibri" w:cs="Calibri" w:eastAsia="Calibri" w:hAnsi="Calibri"/>
          <w:color w:val="1F2937"/>
          <w:sz w:val="22"/>
          <w:szCs w:val="22"/>
        </w:rPr>
        <w:t xml:space="preserve">Chaque utilisateur se connecte avec un nom d'utilisateur, un mot de passe et un site. Votre administrateur crée votre compte et vous communique votre nom d'utilisateur, votre mot de passe initial et le ou les sites auxquels vous pouvez accéder.</w:t>
      </w:r>
    </w:p>
    <w:p>
      <w:pPr>
        <w:pStyle w:val="Heading2"/>
        <w:spacing w:after="160" w:before="360"/>
      </w:pPr>
      <w:r>
        <w:rPr>
          <w:rFonts w:ascii="Calibri" w:cs="Calibri" w:eastAsia="Calibri" w:hAnsi="Calibri"/>
          <w:b/>
          <w:bCs/>
          <w:color w:val="1F2937"/>
          <w:sz w:val="27"/>
          <w:szCs w:val="27"/>
        </w:rPr>
        <w:t xml:space="preserve">4.2 S'orienter</w:t>
      </w:r>
    </w:p>
    <w:p>
      <w:pPr>
        <w:spacing w:after="200" w:line="300"/>
      </w:pPr>
      <w:r>
        <w:rPr>
          <w:rFonts w:ascii="Calibri" w:cs="Calibri" w:eastAsia="Calibri" w:hAnsi="Calibri"/>
          <w:color w:val="1F2937"/>
          <w:sz w:val="22"/>
          <w:szCs w:val="22"/>
        </w:rPr>
        <w:t xml:space="preserve">Une fois connecté, vous arrivez sur l'unique écran conçu pour votre rôle — aucun menu à parcourir. Admin, Planner et Fleet sont les seuls rôles à disposer de plusieurs pages, car ce sont les seuls à en avoir besoin.</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Tout se met à jour en direct.  </w:t>
      </w:r>
      <w:r>
        <w:rPr>
          <w:rFonts w:ascii="Calibri" w:cs="Calibri" w:eastAsia="Calibri" w:hAnsi="Calibri"/>
          <w:color w:val="4B5563"/>
          <w:sz w:val="22"/>
          <w:szCs w:val="22"/>
        </w:rPr>
        <w:t xml:space="preserve"> Si quelqu'un enregistre une remorque à la barrière, affecte un conducteur ou termine un quai, votre écran se met à jour tout seul en une à deux secondes — vous n'avez jamais besoin d'actualiser.</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5. Admin</w:t>
      </w:r>
    </w:p>
    <w:p>
      <w:pPr>
        <w:spacing w:after="200" w:line="300"/>
      </w:pPr>
      <w:r>
        <w:rPr>
          <w:rFonts w:ascii="Calibri" w:cs="Calibri" w:eastAsia="Calibri" w:hAnsi="Calibri"/>
          <w:color w:val="1F2937"/>
          <w:sz w:val="22"/>
          <w:szCs w:val="22"/>
        </w:rPr>
        <w:t xml:space="preserve">Admin configure tout ce avec quoi les autres rôles travaillent au quotidien. L'interface est organisée en onglets : Dashboard, Trailers, Trucks, Drivers, Users, Bays, Bay Restrictions, Backups, Sites, Trailer Types, Configurations, Audit Log et System.</w:t>
      </w:r>
    </w:p>
    <w:p>
      <w:pPr>
        <w:pStyle w:val="Heading2"/>
        <w:spacing w:after="160" w:before="360"/>
      </w:pPr>
      <w:r>
        <w:rPr>
          <w:rFonts w:ascii="Calibri" w:cs="Calibri" w:eastAsia="Calibri" w:hAnsi="Calibri"/>
          <w:b/>
          <w:bCs/>
          <w:color w:val="1F2937"/>
          <w:sz w:val="27"/>
          <w:szCs w:val="27"/>
        </w:rPr>
        <w:t xml:space="preserve">5.1 Dashboard</w:t>
      </w:r>
    </w:p>
    <w:p>
      <w:pPr>
        <w:spacing w:after="200" w:line="300"/>
      </w:pPr>
      <w:r>
        <w:rPr>
          <w:rFonts w:ascii="Calibri" w:cs="Calibri" w:eastAsia="Calibri" w:hAnsi="Calibri"/>
          <w:color w:val="1F2937"/>
          <w:sz w:val="22"/>
          <w:szCs w:val="22"/>
        </w:rPr>
        <w:t xml:space="preserve">Un résumé d'un coup d'œil : nombre total de remorques, nombre total d'utilisateurs, remorques actuellement actives et nombre de mouvements en attente dans le dépôt à l'instant.</w:t>
      </w:r>
    </w:p>
    <w:p>
      <w:pPr>
        <w:pStyle w:val="Heading2"/>
        <w:spacing w:after="160" w:before="360"/>
      </w:pPr>
      <w:r>
        <w:rPr>
          <w:rFonts w:ascii="Calibri" w:cs="Calibri" w:eastAsia="Calibri" w:hAnsi="Calibri"/>
          <w:b/>
          <w:bCs/>
          <w:color w:val="1F2937"/>
          <w:sz w:val="27"/>
          <w:szCs w:val="27"/>
        </w:rPr>
        <w:t xml:space="preserve">5.2 Sites</w:t>
      </w:r>
    </w:p>
    <w:p>
      <w:pPr>
        <w:spacing w:after="200" w:line="300"/>
      </w:pPr>
      <w:r>
        <w:rPr>
          <w:rFonts w:ascii="Calibri" w:cs="Calibri" w:eastAsia="Calibri" w:hAnsi="Calibri"/>
          <w:color w:val="1F2937"/>
          <w:sz w:val="22"/>
          <w:szCs w:val="22"/>
        </w:rPr>
        <w:t xml:space="preserve">Ajoutez, renommez ou supprimez des sites (seules les installations Multi Site en ont besoin de plusieurs). Chaque site peut avoir un Default Haulier (transporteur par défaut) — une fois défini, il pré-remplit le champ Haulier des écrans de barrière d'entrée et de sortie de Security pour ce site, ce qui évite à Security de ressaisir le même transporteur à chaque passage. Ce n'est qu'une valeur de départ ; Security peut toujours la modifier pour un chargement précis.</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Code de site.  </w:t>
      </w:r>
      <w:r>
        <w:rPr>
          <w:rFonts w:ascii="Calibri" w:cs="Calibri" w:eastAsia="Calibri" w:hAnsi="Calibri"/>
          <w:color w:val="4B5563"/>
          <w:sz w:val="22"/>
          <w:szCs w:val="22"/>
        </w:rPr>
        <w:t xml:space="preserve"> Choisi à la création du site et non modifiable ensuite, car d'autres enregistrements (remorques, quais, utilisateurs) y font directement référence. Seuls le nom du site et le transporteur par défaut sont modifiables plus tard.</w:t>
      </w:r>
    </w:p>
    <w:p>
      <w:pPr>
        <w:pStyle w:val="Heading2"/>
        <w:spacing w:after="160" w:before="360"/>
      </w:pPr>
      <w:r>
        <w:rPr>
          <w:rFonts w:ascii="Calibri" w:cs="Calibri" w:eastAsia="Calibri" w:hAnsi="Calibri"/>
          <w:b/>
          <w:bCs/>
          <w:color w:val="1F2937"/>
          <w:sz w:val="27"/>
          <w:szCs w:val="27"/>
        </w:rPr>
        <w:t xml:space="preserve">5.3 Types et configurations de remorque</w:t>
      </w:r>
    </w:p>
    <w:p>
      <w:pPr>
        <w:spacing w:after="200" w:line="300"/>
      </w:pPr>
      <w:r>
        <w:rPr>
          <w:rFonts w:ascii="Calibri" w:cs="Calibri" w:eastAsia="Calibri" w:hAnsi="Calibri"/>
          <w:color w:val="1F2937"/>
          <w:sz w:val="22"/>
          <w:szCs w:val="22"/>
        </w:rPr>
        <w:t xml:space="preserve">Les Trailer Types (par ex. « Rideaux coulissants 13,6 m ») et les Configurations décrivent ce qu'est une remorque, pour la planification et les restrictions. Les deux permettent l'ajout, la modification et la suppression depuis leur propre onglet.</w:t>
      </w:r>
    </w:p>
    <w:p>
      <w:pPr>
        <w:pStyle w:val="Heading2"/>
        <w:spacing w:after="160" w:before="360"/>
      </w:pPr>
      <w:r>
        <w:rPr>
          <w:rFonts w:ascii="Calibri" w:cs="Calibri" w:eastAsia="Calibri" w:hAnsi="Calibri"/>
          <w:b/>
          <w:bCs/>
          <w:color w:val="1F2937"/>
          <w:sz w:val="27"/>
          <w:szCs w:val="27"/>
        </w:rPr>
        <w:t xml:space="preserve">5.4 Remorques</w:t>
      </w:r>
    </w:p>
    <w:p>
      <w:pPr>
        <w:spacing w:after="200" w:line="300"/>
      </w:pPr>
      <w:r>
        <w:rPr>
          <w:rFonts w:ascii="Calibri" w:cs="Calibri" w:eastAsia="Calibri" w:hAnsi="Calibri"/>
          <w:color w:val="1F2937"/>
          <w:sz w:val="22"/>
          <w:szCs w:val="22"/>
        </w:rPr>
        <w:t xml:space="preserve">La liste complète des remorques de tous les sites : numéro, site, type, statut, quai actuel et tournée. Ajoutez une nouvelle remorque, modifiez son type/sa configuration ou supprimez-la ici.</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Supprimer une remorque.  </w:t>
      </w:r>
      <w:r>
        <w:rPr>
          <w:rFonts w:ascii="Calibri" w:cs="Calibri" w:eastAsia="Calibri" w:hAnsi="Calibri"/>
          <w:color w:val="4B5563"/>
          <w:sz w:val="22"/>
          <w:szCs w:val="22"/>
        </w:rPr>
        <w:t xml:space="preserve"> Toutes les autres entités (utilisateurs, camions, quais, sites) sont définitivement supprimées lorsque vous les retirez. Les remorques sont la seule exception — retirer une remorque la marque inactive au lieu de l'effacer, car l'historique des mouvements, les entrées du journal de barrière et les enregistrements de livraison y font souvent encore référence. C'est voulu, pas un bogue.</w:t>
      </w:r>
    </w:p>
    <w:p>
      <w:pPr>
        <w:pStyle w:val="Heading2"/>
        <w:spacing w:after="160" w:before="360"/>
      </w:pPr>
      <w:r>
        <w:rPr>
          <w:rFonts w:ascii="Calibri" w:cs="Calibri" w:eastAsia="Calibri" w:hAnsi="Calibri"/>
          <w:b/>
          <w:bCs/>
          <w:color w:val="1F2937"/>
          <w:sz w:val="27"/>
          <w:szCs w:val="27"/>
        </w:rPr>
        <w:t xml:space="preserve">5.5 Camions et conducteurs</w:t>
      </w:r>
    </w:p>
    <w:p>
      <w:pPr>
        <w:spacing w:after="200" w:line="300"/>
      </w:pPr>
      <w:r>
        <w:rPr>
          <w:rFonts w:ascii="Calibri" w:cs="Calibri" w:eastAsia="Calibri" w:hAnsi="Calibri"/>
          <w:color w:val="1F2937"/>
          <w:sz w:val="22"/>
          <w:szCs w:val="22"/>
        </w:rPr>
        <w:t xml:space="preserve">Ajoutez, modifiez et retirez des camions (immatriculation, site d'attache) et des conducteurs (nom, téléphone, numéro de permis, site d'attache). Les deux fonctionnent comme le reste d'Admin, avec modification sur place.</w:t>
      </w:r>
    </w:p>
    <w:p>
      <w:pPr>
        <w:pStyle w:val="Heading2"/>
        <w:spacing w:after="160" w:before="360"/>
      </w:pPr>
      <w:r>
        <w:rPr>
          <w:rFonts w:ascii="Calibri" w:cs="Calibri" w:eastAsia="Calibri" w:hAnsi="Calibri"/>
          <w:b/>
          <w:bCs/>
          <w:color w:val="1F2937"/>
          <w:sz w:val="27"/>
          <w:szCs w:val="27"/>
        </w:rPr>
        <w:t xml:space="preserve">5.6 Quais et restrictions de quais</w:t>
      </w:r>
    </w:p>
    <w:p>
      <w:pPr>
        <w:spacing w:after="200" w:line="300"/>
      </w:pPr>
      <w:r>
        <w:rPr>
          <w:rFonts w:ascii="Calibri" w:cs="Calibri" w:eastAsia="Calibri" w:hAnsi="Calibri"/>
          <w:color w:val="1F2937"/>
          <w:sz w:val="22"/>
          <w:szCs w:val="22"/>
        </w:rPr>
        <w:t xml:space="preserve">Bays liste chaque quai de chaque site — numéro, zone (par ex. INTAKE, FROZEN, CHILL, DEKIT), position dans la grille, statut et activité. La modification d'un quai permet de changer sa zone, sa position dans la grille, son statut et son ordre d'affichage ; le site et le numéro du quai sont figés une fois créés, car ils constituent son identité.</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Le champ Area.  </w:t>
      </w:r>
      <w:r>
        <w:rPr>
          <w:rFonts w:ascii="Calibri" w:cs="Calibri" w:eastAsia="Calibri" w:hAnsi="Calibri"/>
          <w:color w:val="4B5563"/>
          <w:sz w:val="22"/>
          <w:szCs w:val="22"/>
        </w:rPr>
        <w:t xml:space="preserve"> C'est un texte libre, pas une liste fixe — le texte d'exemple suggère LOADING, INTAKE, FREEZER, CHILL ou DEKIT. Écrivez les quais Dekit exactement DEKIT, de façon cohérente sur tout votre site, afin que Loader, Dekit et Shunter les reconnaissent tous de la même manière (le système ignore la casse, mais garder une dénomination cohérente évite toute confusion à votre équipe).</w:t>
      </w:r>
    </w:p>
    <w:p>
      <w:pPr>
        <w:spacing w:after="200" w:line="300"/>
      </w:pPr>
      <w:r>
        <w:rPr>
          <w:rFonts w:ascii="Calibri" w:cs="Calibri" w:eastAsia="Calibri" w:hAnsi="Calibri"/>
          <w:color w:val="1F2937"/>
          <w:sz w:val="22"/>
          <w:szCs w:val="22"/>
        </w:rPr>
        <w:t xml:space="preserve">Les Bay Restrictions permettent de limiter les types de remorque autorisés sur une plage de quais — utile quand, par exemple, seuls certains numéros de quais peuvent physiquement accueillir une remorque de 13,6 m. Les restrictions peuvent être filtrées par préfixe du numéro de remorque ainsi que par type, et désactivées sans être supprimées.</w:t>
      </w:r>
    </w:p>
    <w:p>
      <w:pPr>
        <w:pStyle w:val="Heading2"/>
        <w:spacing w:after="160" w:before="360"/>
      </w:pPr>
      <w:r>
        <w:rPr>
          <w:rFonts w:ascii="Calibri" w:cs="Calibri" w:eastAsia="Calibri" w:hAnsi="Calibri"/>
          <w:b/>
          <w:bCs/>
          <w:color w:val="1F2937"/>
          <w:sz w:val="27"/>
          <w:szCs w:val="27"/>
        </w:rPr>
        <w:t xml:space="preserve">5.7 Utilisateurs</w:t>
      </w:r>
    </w:p>
    <w:p>
      <w:pPr>
        <w:spacing w:after="200" w:line="300"/>
      </w:pPr>
      <w:r>
        <w:rPr>
          <w:rFonts w:ascii="Calibri" w:cs="Calibri" w:eastAsia="Calibri" w:hAnsi="Calibri"/>
          <w:color w:val="1F2937"/>
          <w:sz w:val="22"/>
          <w:szCs w:val="22"/>
        </w:rPr>
        <w:t xml:space="preserve">Créez, modifiez et désactivez des comptes utilisateurs : nom d'utilisateur, rôle, site d'attache et actif/inactif. La modification d'un utilisateur permet de changer son rôle, son site d'attache et son statut actif ; un nouveau mot de passe peut être défini à tout moment depuis le même écran. Le nom d'utilisateur lui-même ne peut pas être modifié une fois créé.</w:t>
      </w:r>
    </w:p>
    <w:p>
      <w:pPr>
        <w:pStyle w:val="Heading2"/>
        <w:spacing w:after="160" w:before="360"/>
      </w:pPr>
      <w:r>
        <w:rPr>
          <w:rFonts w:ascii="Calibri" w:cs="Calibri" w:eastAsia="Calibri" w:hAnsi="Calibri"/>
          <w:b/>
          <w:bCs/>
          <w:color w:val="1F2937"/>
          <w:sz w:val="27"/>
          <w:szCs w:val="27"/>
        </w:rPr>
        <w:t xml:space="preserve">5.8 Sauvegardes</w:t>
      </w:r>
    </w:p>
    <w:p>
      <w:pPr>
        <w:spacing w:after="200" w:line="300"/>
      </w:pPr>
      <w:r>
        <w:rPr>
          <w:rFonts w:ascii="Calibri" w:cs="Calibri" w:eastAsia="Calibri" w:hAnsi="Calibri"/>
          <w:color w:val="1F2937"/>
          <w:sz w:val="22"/>
          <w:szCs w:val="22"/>
        </w:rPr>
        <w:t xml:space="preserve">Définissez un dossier de sauvegarde et une durée de conservation pour la base de données, et consultez la date de la dernière sauvegarde et de la prochaine planifiée. Une sauvegarde hebdomadaire s'exécute en plus de la sauvegarde régulière de la base, chacune avec son propre réglage de conservation.</w:t>
      </w:r>
    </w:p>
    <w:p>
      <w:pPr>
        <w:pStyle w:val="Heading2"/>
        <w:spacing w:after="160" w:before="360"/>
      </w:pPr>
      <w:r>
        <w:rPr>
          <w:rFonts w:ascii="Calibri" w:cs="Calibri" w:eastAsia="Calibri" w:hAnsi="Calibri"/>
          <w:b/>
          <w:bCs/>
          <w:color w:val="1F2937"/>
          <w:sz w:val="27"/>
          <w:szCs w:val="27"/>
        </w:rPr>
        <w:t xml:space="preserve">5.9 Journal d'audit</w:t>
      </w:r>
    </w:p>
    <w:p>
      <w:pPr>
        <w:spacing w:after="200" w:line="300"/>
      </w:pPr>
      <w:r>
        <w:rPr>
          <w:rFonts w:ascii="Calibri" w:cs="Calibri" w:eastAsia="Calibri" w:hAnsi="Calibri"/>
          <w:color w:val="1F2937"/>
          <w:sz w:val="22"/>
          <w:szCs w:val="22"/>
        </w:rPr>
        <w:t xml:space="preserve">Un historique continu de qui a fait quoi et quand — chaque création, modification, suppression et événement de barrière du système, avec le nom d'utilisateur, l'horodatage, le site et les détails.</w:t>
      </w:r>
    </w:p>
    <w:p>
      <w:pPr>
        <w:pStyle w:val="Heading2"/>
        <w:spacing w:after="160" w:before="360"/>
      </w:pPr>
      <w:r>
        <w:rPr>
          <w:rFonts w:ascii="Calibri" w:cs="Calibri" w:eastAsia="Calibri" w:hAnsi="Calibri"/>
          <w:b/>
          <w:bCs/>
          <w:color w:val="1F2937"/>
          <w:sz w:val="27"/>
          <w:szCs w:val="27"/>
        </w:rPr>
        <w:t xml:space="preserve">5.10 Système</w:t>
      </w:r>
    </w:p>
    <w:p>
      <w:pPr>
        <w:spacing w:after="200" w:line="300"/>
      </w:pPr>
      <w:r>
        <w:rPr>
          <w:rFonts w:ascii="Calibri" w:cs="Calibri" w:eastAsia="Calibri" w:hAnsi="Calibri"/>
          <w:color w:val="1F2937"/>
          <w:sz w:val="22"/>
          <w:szCs w:val="22"/>
        </w:rPr>
        <w:t xml:space="preserve">Informations de diagnostic en lecture seule — versions de Node.js et SQLite, environnement, durée de fonctionnement et heure du serveur — utiles pour signaler un problème au support.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6. Planner</w:t>
      </w:r>
    </w:p>
    <w:p>
      <w:pPr>
        <w:spacing w:after="200" w:line="300"/>
      </w:pPr>
      <w:r>
        <w:rPr>
          <w:rFonts w:ascii="Calibri" w:cs="Calibri" w:eastAsia="Calibri" w:hAnsi="Calibri"/>
          <w:color w:val="1F2937"/>
          <w:sz w:val="22"/>
          <w:szCs w:val="22"/>
        </w:rPr>
        <w:t xml:space="preserve">Planner est organisé en trois onglets : Delivery Sites, Restrictions et Route Allocation.</w:t>
      </w:r>
    </w:p>
    <w:p>
      <w:pPr>
        <w:pStyle w:val="Heading2"/>
        <w:spacing w:after="160" w:before="360"/>
      </w:pPr>
      <w:r>
        <w:rPr>
          <w:rFonts w:ascii="Calibri" w:cs="Calibri" w:eastAsia="Calibri" w:hAnsi="Calibri"/>
          <w:b/>
          <w:bCs/>
          <w:color w:val="1F2937"/>
          <w:sz w:val="27"/>
          <w:szCs w:val="27"/>
        </w:rPr>
        <w:t xml:space="preserve">6.1 Sites de livraison</w:t>
      </w:r>
    </w:p>
    <w:p>
      <w:pPr>
        <w:spacing w:after="200" w:line="300"/>
      </w:pPr>
      <w:r>
        <w:rPr>
          <w:rFonts w:ascii="Calibri" w:cs="Calibri" w:eastAsia="Calibri" w:hAnsi="Calibri"/>
          <w:color w:val="1F2937"/>
          <w:sz w:val="22"/>
          <w:szCs w:val="22"/>
        </w:rPr>
        <w:t xml:space="preserve">La liste des destinations de livraison vers lesquelles les remorques peuvent être acheminées — chacune avec un numéro, un nom et les restrictions qui s'y appliquent (voir 6.2). Recherchez, ajoutez, modifiez et désactivez les sites de livraison depuis cet onglet.</w:t>
      </w:r>
    </w:p>
    <w:p>
      <w:pPr>
        <w:pStyle w:val="Heading2"/>
        <w:spacing w:after="160" w:before="360"/>
      </w:pPr>
      <w:r>
        <w:rPr>
          <w:rFonts w:ascii="Calibri" w:cs="Calibri" w:eastAsia="Calibri" w:hAnsi="Calibri"/>
          <w:b/>
          <w:bCs/>
          <w:color w:val="1F2937"/>
          <w:sz w:val="27"/>
          <w:szCs w:val="27"/>
        </w:rPr>
        <w:t xml:space="preserve">6.2 Restrictions</w:t>
      </w:r>
    </w:p>
    <w:p>
      <w:pPr>
        <w:spacing w:after="200" w:line="300"/>
      </w:pPr>
      <w:r>
        <w:rPr>
          <w:rFonts w:ascii="Calibri" w:cs="Calibri" w:eastAsia="Calibri" w:hAnsi="Calibri"/>
          <w:color w:val="1F2937"/>
          <w:sz w:val="22"/>
          <w:szCs w:val="22"/>
        </w:rPr>
        <w:t xml:space="preserve">Une restriction est un libellé (par ex. « Pas de véhicules articulés ») que vous pouvez rattacher à un site de livraison, avec les types de remorque qui restent autorisés à s'y rendre malgré elle. Les restrictions peuvent être désactivées sans être supprimées, et un site de livraison peut en porter plusieurs à la fois.</w:t>
      </w:r>
    </w:p>
    <w:p>
      <w:pPr>
        <w:pStyle w:val="Heading2"/>
        <w:spacing w:after="160" w:before="360"/>
      </w:pPr>
      <w:r>
        <w:rPr>
          <w:rFonts w:ascii="Calibri" w:cs="Calibri" w:eastAsia="Calibri" w:hAnsi="Calibri"/>
          <w:b/>
          <w:bCs/>
          <w:color w:val="1F2937"/>
          <w:sz w:val="27"/>
          <w:szCs w:val="27"/>
        </w:rPr>
        <w:t xml:space="preserve">6.3 Affectation des tournées</w:t>
      </w:r>
    </w:p>
    <w:p>
      <w:pPr>
        <w:spacing w:after="200" w:line="300"/>
      </w:pPr>
      <w:r>
        <w:rPr>
          <w:rFonts w:ascii="Calibri" w:cs="Calibri" w:eastAsia="Calibri" w:hAnsi="Calibri"/>
          <w:color w:val="1F2937"/>
          <w:sz w:val="22"/>
          <w:szCs w:val="22"/>
        </w:rPr>
        <w:t xml:space="preserve">Construisez une tournée pour une date et un numéro de tournée donnés en y ajoutant des sites de livraison dans l'ordre, en réorganisant les arrêts avec les flèches haut/bas et en retirant ceux qui n'y ont pas leur place. Les numéros de tournée repartent à 001 chaque jour ; utilisez New Route pour obtenir automatiquement le prochain numéro libre pour la date sélectionnée.</w:t>
      </w:r>
    </w:p>
    <w:p>
      <w:pPr>
        <w:spacing w:after="200" w:line="300"/>
      </w:pPr>
      <w:r>
        <w:rPr>
          <w:rFonts w:ascii="Calibri" w:cs="Calibri" w:eastAsia="Calibri" w:hAnsi="Calibri"/>
          <w:b/>
          <w:bCs/>
          <w:color w:val="1F2937"/>
          <w:sz w:val="22"/>
          <w:szCs w:val="22"/>
        </w:rPr>
        <w:t xml:space="preserve">Terminer une tournée.</w:t>
      </w:r>
      <w:r>
        <w:rPr>
          <w:rFonts w:ascii="Calibri" w:cs="Calibri" w:eastAsia="Calibri" w:hAnsi="Calibri"/>
          <w:color w:val="1F2937"/>
          <w:sz w:val="22"/>
          <w:szCs w:val="22"/>
        </w:rPr>
        <w:t xml:space="preserve"> Marquez une tournée Completed une fois effectuée, ou Reopen si elle doit être modifiée après coup — le badge de statut et les boutons reflètent l'état dans lequel elle se trouve.</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7. Loader</w:t>
      </w:r>
    </w:p>
    <w:p>
      <w:pPr>
        <w:spacing w:after="200" w:line="300"/>
      </w:pPr>
      <w:r>
        <w:rPr>
          <w:rFonts w:ascii="Calibri" w:cs="Calibri" w:eastAsia="Calibri" w:hAnsi="Calibri"/>
          <w:color w:val="1F2937"/>
          <w:sz w:val="22"/>
          <w:szCs w:val="22"/>
        </w:rPr>
        <w:t xml:space="preserve">L'écran de Loader affiche le plan des quais du site à côté d'un panneau Available Trailers — faites glisser une remorque du panneau vers un quai pour l'affecter.</w:t>
      </w:r>
    </w:p>
    <w:p>
      <w:pPr>
        <w:pStyle w:val="Heading2"/>
        <w:spacing w:after="160" w:before="360"/>
      </w:pPr>
      <w:r>
        <w:rPr>
          <w:rFonts w:ascii="Calibri" w:cs="Calibri" w:eastAsia="Calibri" w:hAnsi="Calibri"/>
          <w:b/>
          <w:bCs/>
          <w:color w:val="1F2937"/>
          <w:sz w:val="27"/>
          <w:szCs w:val="27"/>
        </w:rPr>
        <w:t xml:space="preserve">7.1 Remorques disponibles</w:t>
      </w:r>
    </w:p>
    <w:p>
      <w:pPr>
        <w:spacing w:after="200" w:line="300"/>
      </w:pPr>
      <w:r>
        <w:rPr>
          <w:rFonts w:ascii="Calibri" w:cs="Calibri" w:eastAsia="Calibri" w:hAnsi="Calibri"/>
          <w:color w:val="1F2937"/>
          <w:sz w:val="22"/>
          <w:szCs w:val="22"/>
        </w:rPr>
        <w:t xml:space="preserve">Les remorques sont regroupées dans un ordre fixe, pour que le cas courant soit toujours en haut :</w:t>
      </w:r>
    </w:p>
    <w:p>
      <w:pPr>
        <w:pStyle w:val="ListParagraph"/>
        <w:numPr>
          <w:ilvl w:val="0"/>
          <w:numId w:val="8"/>
        </w:numPr>
        <w:spacing w:after="180" w:line="290"/>
      </w:pPr>
      <w:r>
        <w:rPr>
          <w:rFonts w:ascii="Calibri" w:cs="Calibri" w:eastAsia="Calibri" w:hAnsi="Calibri"/>
          <w:color w:val="1F2937"/>
          <w:sz w:val="22"/>
          <w:szCs w:val="22"/>
        </w:rPr>
        <w:t xml:space="preserve">Empty available — rien à se demander, il suffit de la charger</w:t>
      </w:r>
    </w:p>
    <w:p>
      <w:pPr>
        <w:pStyle w:val="ListParagraph"/>
        <w:numPr>
          <w:ilvl w:val="0"/>
          <w:numId w:val="8"/>
        </w:numPr>
        <w:spacing w:after="180" w:line="290"/>
      </w:pPr>
      <w:r>
        <w:rPr>
          <w:rFonts w:ascii="Calibri" w:cs="Calibri" w:eastAsia="Calibri" w:hAnsi="Calibri"/>
          <w:color w:val="1F2937"/>
          <w:sz w:val="22"/>
          <w:szCs w:val="22"/>
        </w:rPr>
        <w:t xml:space="preserve">Dekit — doit être « dekittée » avant de pouvoir être chargée</w:t>
      </w:r>
    </w:p>
    <w:p>
      <w:pPr>
        <w:pStyle w:val="ListParagraph"/>
        <w:numPr>
          <w:ilvl w:val="0"/>
          <w:numId w:val="8"/>
        </w:numPr>
        <w:spacing w:after="180" w:line="290"/>
      </w:pPr>
      <w:r>
        <w:rPr>
          <w:rFonts w:ascii="Calibri" w:cs="Calibri" w:eastAsia="Calibri" w:hAnsi="Calibri"/>
          <w:color w:val="1F2937"/>
          <w:sz w:val="22"/>
          <w:szCs w:val="22"/>
        </w:rPr>
        <w:t xml:space="preserve">Return delivery — nécessite l'attention de Dekit avant de pouvoir être chargée</w:t>
      </w:r>
    </w:p>
    <w:p>
      <w:pPr>
        <w:pStyle w:val="ListParagraph"/>
        <w:numPr>
          <w:ilvl w:val="0"/>
          <w:numId w:val="8"/>
        </w:numPr>
        <w:spacing w:after="180" w:line="290"/>
      </w:pPr>
      <w:r>
        <w:rPr>
          <w:rFonts w:ascii="Calibri" w:cs="Calibri" w:eastAsia="Calibri" w:hAnsi="Calibri"/>
          <w:color w:val="1F2937"/>
          <w:sz w:val="22"/>
          <w:szCs w:val="22"/>
        </w:rPr>
        <w:t xml:space="preserve">Loaded returning — transporte encore une vraie charge non livrée</w:t>
      </w:r>
    </w:p>
    <w:p>
      <w:pPr>
        <w:spacing w:after="200" w:line="300"/>
      </w:pPr>
      <w:r>
        <w:rPr>
          <w:rFonts w:ascii="Calibri" w:cs="Calibri" w:eastAsia="Calibri" w:hAnsi="Calibri"/>
          <w:color w:val="1F2937"/>
          <w:sz w:val="22"/>
          <w:szCs w:val="22"/>
        </w:rPr>
        <w:t xml:space="preserve">Chaque carte affiche le numéro de la remorque, son type et — le cas échéant — une seconde ligne signalant ce qu'elle transporte :</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2600"/>
        <w:gridCol w:w="6438"/>
      </w:tblGrid>
      <w:tr>
        <w:trPr>
          <w:tblHeader/>
        </w:trPr>
        <w:tc>
          <w:tcPr>
            <w:tcW w:type="dxa" w:w="26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Libellé</w:t>
            </w:r>
          </w:p>
        </w:tc>
        <w:tc>
          <w:tcPr>
            <w:tcW w:type="dxa" w:w="64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Signification</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Dekit</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Doit être « dekittée » — ne peut être affectée qu'à un quai Dekit</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Returns</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Contient des retours de magasin — ne peut être affectée qu'à un quai Dekit</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Frozen / Chill / Ambient / Xdock</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Transporte encore cette catégorie de produits non livrés</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Mixed</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Transporte plusieurs catégories parmi Frozen/Chill/Ambient/Xdock à la fois</w:t>
            </w:r>
          </w:p>
        </w:tc>
      </w:tr>
    </w:tbl>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Les remorques Dekit et Returns  </w:t>
      </w:r>
      <w:r>
        <w:rPr>
          <w:rFonts w:ascii="Calibri" w:cs="Calibri" w:eastAsia="Calibri" w:hAnsi="Calibri"/>
          <w:color w:val="4B5563"/>
          <w:sz w:val="22"/>
          <w:szCs w:val="22"/>
        </w:rPr>
        <w:t xml:space="preserve"> ne peuvent être déposées que sur un quai de la zone Dekit — le système refuse le dépôt sur tout autre quai, quel que soit l'utilisateur.</w:t>
      </w:r>
    </w:p>
    <w:p>
      <w:pPr>
        <w:pStyle w:val="Heading2"/>
        <w:spacing w:after="160" w:before="360"/>
      </w:pPr>
      <w:r>
        <w:rPr>
          <w:rFonts w:ascii="Calibri" w:cs="Calibri" w:eastAsia="Calibri" w:hAnsi="Calibri"/>
          <w:b/>
          <w:bCs/>
          <w:color w:val="1F2937"/>
          <w:sz w:val="27"/>
          <w:szCs w:val="27"/>
        </w:rPr>
        <w:t xml:space="preserve">7.2 Affecter une remorque</w:t>
      </w:r>
    </w:p>
    <w:p>
      <w:pPr>
        <w:spacing w:after="200" w:line="300"/>
      </w:pPr>
      <w:r>
        <w:rPr>
          <w:rFonts w:ascii="Calibri" w:cs="Calibri" w:eastAsia="Calibri" w:hAnsi="Calibri"/>
          <w:color w:val="1F2937"/>
          <w:sz w:val="22"/>
          <w:szCs w:val="22"/>
        </w:rPr>
        <w:t xml:space="preserve">Faites glisser une carte de remorque sur un quai. La suite dépend de ce que la remorque transporte :</w:t>
      </w:r>
    </w:p>
    <w:p>
      <w:pPr>
        <w:pStyle w:val="ListParagraph"/>
        <w:numPr>
          <w:ilvl w:val="0"/>
          <w:numId w:val="9"/>
        </w:numPr>
        <w:spacing w:after="180" w:line="290"/>
      </w:pPr>
      <w:r>
        <w:rPr>
          <w:rFonts w:ascii="Calibri" w:cs="Calibri" w:eastAsia="Calibri" w:hAnsi="Calibri"/>
          <w:color w:val="1F2937"/>
          <w:sz w:val="22"/>
          <w:szCs w:val="22"/>
        </w:rPr>
        <w:t xml:space="preserve">Une remorque simple et vide — on vous demande le numéro de tournée pour ce chargement (ou laissez vide pour la placer sans tournée pour l'instant).</w:t>
      </w:r>
    </w:p>
    <w:p>
      <w:pPr>
        <w:pStyle w:val="ListParagraph"/>
        <w:numPr>
          <w:ilvl w:val="0"/>
          <w:numId w:val="9"/>
        </w:numPr>
        <w:spacing w:after="180" w:line="290"/>
      </w:pPr>
      <w:r>
        <w:rPr>
          <w:rFonts w:ascii="Calibri" w:cs="Calibri" w:eastAsia="Calibri" w:hAnsi="Calibri"/>
          <w:color w:val="1F2937"/>
          <w:sz w:val="22"/>
          <w:szCs w:val="22"/>
        </w:rPr>
        <w:t xml:space="preserve">Une remorque Frozen/Chill/Ambient/Xdock (ou Mixed) — on vous demande d'abord « Reload it now? ». Répondez Yes pour attribuer un numéro de tournée comme d'habitude ; répondez No pour simplement placer la remorque au quai sans tournée, afin qu'elle soit d'abord déchargée.</w:t>
      </w:r>
    </w:p>
    <w:p>
      <w:pPr>
        <w:pStyle w:val="ListParagraph"/>
        <w:numPr>
          <w:ilvl w:val="0"/>
          <w:numId w:val="9"/>
        </w:numPr>
        <w:spacing w:after="180" w:line="290"/>
      </w:pPr>
      <w:r>
        <w:rPr>
          <w:rFonts w:ascii="Calibri" w:cs="Calibri" w:eastAsia="Calibri" w:hAnsi="Calibri"/>
          <w:color w:val="1F2937"/>
          <w:sz w:val="22"/>
          <w:szCs w:val="22"/>
        </w:rPr>
        <w:t xml:space="preserve">Une remorque Dekit ou Returns, déposée sur un quai Dekit — aucun numéro de tournée n'est demandé ; elle est simplement placée là pour que Dekit la traite.</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Seul Loader  </w:t>
      </w:r>
      <w:r>
        <w:rPr>
          <w:rFonts w:ascii="Calibri" w:cs="Calibri" w:eastAsia="Calibri" w:hAnsi="Calibri"/>
          <w:color w:val="4B5563"/>
          <w:sz w:val="22"/>
          <w:szCs w:val="22"/>
        </w:rPr>
        <w:t xml:space="preserve"> peut affecter un quai à une remorque transportant encore des produits Frozen/Chill/Ambient/Xdock — Dekit et Shunter ne peuvent pas le faire, par conception.</w:t>
      </w:r>
    </w:p>
    <w:p>
      <w:pPr>
        <w:pStyle w:val="Heading2"/>
        <w:spacing w:after="160" w:before="360"/>
      </w:pPr>
      <w:r>
        <w:rPr>
          <w:rFonts w:ascii="Calibri" w:cs="Calibri" w:eastAsia="Calibri" w:hAnsi="Calibri"/>
          <w:b/>
          <w:bCs/>
          <w:color w:val="1F2937"/>
          <w:sz w:val="27"/>
          <w:szCs w:val="27"/>
        </w:rPr>
        <w:t xml:space="preserve">7.3 Une fois la remorque au quai</w:t>
      </w:r>
    </w:p>
    <w:p>
      <w:pPr>
        <w:spacing w:after="200" w:line="300"/>
      </w:pPr>
      <w:r>
        <w:rPr>
          <w:rFonts w:ascii="Calibri" w:cs="Calibri" w:eastAsia="Calibri" w:hAnsi="Calibri"/>
          <w:color w:val="1F2937"/>
          <w:sz w:val="22"/>
          <w:szCs w:val="22"/>
        </w:rPr>
        <w:t xml:space="preserve">Une remorque placée à un quai de chargement normal affiche deux boutons : Complete (une fois le chargement terminé) et Move To (demander à un Shunter de la déplacer ailleurs).</w:t>
      </w:r>
    </w:p>
    <w:p>
      <w:pPr>
        <w:spacing w:after="200" w:line="300"/>
      </w:pPr>
      <w:r>
        <w:rPr>
          <w:rFonts w:ascii="Calibri" w:cs="Calibri" w:eastAsia="Calibri" w:hAnsi="Calibri"/>
          <w:color w:val="1F2937"/>
          <w:sz w:val="22"/>
          <w:szCs w:val="22"/>
        </w:rPr>
        <w:t xml:space="preserve">Une remorque que Dekit vient de vider — toujours dans son quai Dekit — affiche Move To et Park up au lieu de Complete, puisqu'il n'y a rien à « terminer » tant qu'elle n'est pas rechargée :</w:t>
      </w:r>
    </w:p>
    <w:p>
      <w:pPr>
        <w:pStyle w:val="ListParagraph"/>
        <w:numPr>
          <w:ilvl w:val="0"/>
          <w:numId w:val="6"/>
        </w:numPr>
        <w:spacing w:after="120" w:line="290"/>
      </w:pPr>
      <w:r>
        <w:rPr>
          <w:rFonts w:ascii="Calibri" w:cs="Calibri" w:eastAsia="Calibri" w:hAnsi="Calibri"/>
          <w:b/>
          <w:bCs/>
          <w:color w:val="1F2937"/>
          <w:sz w:val="22"/>
          <w:szCs w:val="22"/>
        </w:rPr>
        <w:t xml:space="preserve">Move To —</w:t>
      </w:r>
      <w:r>
        <w:rPr>
          <w:rFonts w:ascii="Calibri" w:cs="Calibri" w:eastAsia="Calibri" w:hAnsi="Calibri"/>
          <w:color w:val="1F2937"/>
          <w:sz w:val="22"/>
          <w:szCs w:val="22"/>
        </w:rPr>
        <w:t xml:space="preserve"> réutilise la demande de déplacement normale — choisissez un quai de destination et un Shunter l'exécute.</w:t>
      </w:r>
    </w:p>
    <w:p>
      <w:pPr>
        <w:pStyle w:val="ListParagraph"/>
        <w:numPr>
          <w:ilvl w:val="0"/>
          <w:numId w:val="6"/>
        </w:numPr>
        <w:spacing w:after="120" w:line="290"/>
      </w:pPr>
      <w:r>
        <w:rPr>
          <w:rFonts w:ascii="Calibri" w:cs="Calibri" w:eastAsia="Calibri" w:hAnsi="Calibri"/>
          <w:b/>
          <w:bCs/>
          <w:color w:val="1F2937"/>
          <w:sz w:val="22"/>
          <w:szCs w:val="22"/>
        </w:rPr>
        <w:t xml:space="preserve">Park up —</w:t>
      </w:r>
      <w:r>
        <w:rPr>
          <w:rFonts w:ascii="Calibri" w:cs="Calibri" w:eastAsia="Calibri" w:hAnsi="Calibri"/>
          <w:color w:val="1F2937"/>
          <w:sz w:val="22"/>
          <w:szCs w:val="22"/>
        </w:rPr>
        <w:t xml:space="preserve"> demande à un Shunter de simplement retirer la remorque de son quai et de la laisser inactive et disponible, sans quai de destination particulier.</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8. Dekit</w:t>
      </w:r>
    </w:p>
    <w:p>
      <w:pPr>
        <w:spacing w:after="200" w:line="300"/>
      </w:pPr>
      <w:r>
        <w:rPr>
          <w:rFonts w:ascii="Calibri" w:cs="Calibri" w:eastAsia="Calibri" w:hAnsi="Calibri"/>
          <w:color w:val="1F2937"/>
          <w:sz w:val="22"/>
          <w:szCs w:val="22"/>
        </w:rPr>
        <w:t xml:space="preserve">Dekit vide les remorques revenues d'une tournée avec d'anciens emballages (Dekit) ou des retours de magasin invendus (Return delivery), afin qu'elles puissent retourner en usage général.</w:t>
      </w:r>
    </w:p>
    <w:p>
      <w:pPr>
        <w:pStyle w:val="Heading2"/>
        <w:spacing w:after="160" w:before="360"/>
      </w:pPr>
      <w:r>
        <w:rPr>
          <w:rFonts w:ascii="Calibri" w:cs="Calibri" w:eastAsia="Calibri" w:hAnsi="Calibri"/>
          <w:b/>
          <w:bCs/>
          <w:color w:val="1F2937"/>
          <w:sz w:val="27"/>
          <w:szCs w:val="27"/>
        </w:rPr>
        <w:t xml:space="preserve">8.1 Remorques disponibles</w:t>
      </w:r>
    </w:p>
    <w:p>
      <w:pPr>
        <w:spacing w:after="200" w:line="300"/>
      </w:pPr>
      <w:r>
        <w:rPr>
          <w:rFonts w:ascii="Calibri" w:cs="Calibri" w:eastAsia="Calibri" w:hAnsi="Calibri"/>
          <w:color w:val="1F2937"/>
          <w:sz w:val="22"/>
          <w:szCs w:val="22"/>
        </w:rPr>
        <w:t xml:space="preserve">La liste propre à Dekit ne montre que ce qui relève réellement de Dekit, dans cet ordre :</w:t>
      </w:r>
    </w:p>
    <w:p>
      <w:pPr>
        <w:pStyle w:val="ListParagraph"/>
        <w:numPr>
          <w:ilvl w:val="0"/>
          <w:numId w:val="10"/>
        </w:numPr>
        <w:spacing w:after="180" w:line="290"/>
      </w:pPr>
      <w:r>
        <w:rPr>
          <w:rFonts w:ascii="Calibri" w:cs="Calibri" w:eastAsia="Calibri" w:hAnsi="Calibri"/>
          <w:color w:val="1F2937"/>
          <w:sz w:val="22"/>
          <w:szCs w:val="22"/>
        </w:rPr>
        <w:t xml:space="preserve">Dekit</w:t>
      </w:r>
    </w:p>
    <w:p>
      <w:pPr>
        <w:pStyle w:val="ListParagraph"/>
        <w:numPr>
          <w:ilvl w:val="0"/>
          <w:numId w:val="10"/>
        </w:numPr>
        <w:spacing w:after="180" w:line="290"/>
      </w:pPr>
      <w:r>
        <w:rPr>
          <w:rFonts w:ascii="Calibri" w:cs="Calibri" w:eastAsia="Calibri" w:hAnsi="Calibri"/>
          <w:color w:val="1F2937"/>
          <w:sz w:val="22"/>
          <w:szCs w:val="22"/>
        </w:rPr>
        <w:t xml:space="preserve">Return delivery</w:t>
      </w:r>
    </w:p>
    <w:p>
      <w:pPr>
        <w:pStyle w:val="ListParagraph"/>
        <w:numPr>
          <w:ilvl w:val="0"/>
          <w:numId w:val="10"/>
        </w:numPr>
        <w:spacing w:after="180" w:line="290"/>
      </w:pPr>
      <w:r>
        <w:rPr>
          <w:rFonts w:ascii="Calibri" w:cs="Calibri" w:eastAsia="Calibri" w:hAnsi="Calibri"/>
          <w:color w:val="1F2937"/>
          <w:sz w:val="22"/>
          <w:szCs w:val="22"/>
        </w:rPr>
        <w:t xml:space="preserve">Empty</w:t>
      </w:r>
    </w:p>
    <w:p>
      <w:pPr>
        <w:spacing w:after="200" w:line="300"/>
      </w:pPr>
      <w:r>
        <w:rPr>
          <w:rFonts w:ascii="Calibri" w:cs="Calibri" w:eastAsia="Calibri" w:hAnsi="Calibri"/>
          <w:color w:val="1F2937"/>
          <w:sz w:val="22"/>
          <w:szCs w:val="22"/>
        </w:rPr>
        <w:t xml:space="preserve">Les remorques vides y figurent aussi — non qu'elles aient besoin d'être « dekittées », mais pour que Dekit puisse en charger une avec des emballages ou des palettes à transférer vers un autre site en utilisant les mêmes quais. Les remorques qui transportent encore une vraie charge non livrée (Frozen/Chill/Ambient/Xdock) n'apparaissent jamais sur cet écran — c'est la responsabilité de Loader (chapitre 7).</w:t>
      </w:r>
    </w:p>
    <w:p>
      <w:pPr>
        <w:pStyle w:val="Heading2"/>
        <w:spacing w:after="160" w:before="360"/>
      </w:pPr>
      <w:r>
        <w:rPr>
          <w:rFonts w:ascii="Calibri" w:cs="Calibri" w:eastAsia="Calibri" w:hAnsi="Calibri"/>
          <w:b/>
          <w:bCs/>
          <w:color w:val="1F2937"/>
          <w:sz w:val="27"/>
          <w:szCs w:val="27"/>
        </w:rPr>
        <w:t xml:space="preserve">8.2 Traiter une remorque</w:t>
      </w:r>
    </w:p>
    <w:p>
      <w:pPr>
        <w:spacing w:after="200" w:line="300"/>
      </w:pPr>
      <w:r>
        <w:rPr>
          <w:rFonts w:ascii="Calibri" w:cs="Calibri" w:eastAsia="Calibri" w:hAnsi="Calibri"/>
          <w:color w:val="1F2937"/>
          <w:sz w:val="22"/>
          <w:szCs w:val="22"/>
        </w:rPr>
        <w:t xml:space="preserve">Faites glisser une remorque sur un quai Dekit, comme Loader affecte un quai de chargement. Une fois physiquement vidée, cliquez sur Complete — cela efface son étiquette de marchandise mais la laisse au quai. C'est ensuite à Loader de décider : la réutiliser sur place (Move To) ou la faire garer par un Shunter, inactive et disponible (voir 7.3).</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9. Shunter</w:t>
      </w:r>
    </w:p>
    <w:p>
      <w:pPr>
        <w:spacing w:after="200" w:line="300"/>
      </w:pPr>
      <w:r>
        <w:rPr>
          <w:rFonts w:ascii="Calibri" w:cs="Calibri" w:eastAsia="Calibri" w:hAnsi="Calibri"/>
          <w:color w:val="1F2937"/>
          <w:sz w:val="22"/>
          <w:szCs w:val="22"/>
        </w:rPr>
        <w:t xml:space="preserve">Shunter fonctionne sur une tablette montée dans la cabine du tracteur et affiche le plan du dépôt de votre site en direct.</w:t>
      </w:r>
    </w:p>
    <w:p>
      <w:pPr>
        <w:pStyle w:val="Heading2"/>
        <w:spacing w:after="160" w:before="360"/>
      </w:pPr>
      <w:r>
        <w:rPr>
          <w:rFonts w:ascii="Calibri" w:cs="Calibri" w:eastAsia="Calibri" w:hAnsi="Calibri"/>
          <w:b/>
          <w:bCs/>
          <w:color w:val="1F2937"/>
          <w:sz w:val="27"/>
          <w:szCs w:val="27"/>
        </w:rPr>
        <w:t xml:space="preserve">9.1 Mettre une remorque à quai</w:t>
      </w:r>
    </w:p>
    <w:p>
      <w:pPr>
        <w:spacing w:after="200" w:line="300"/>
      </w:pPr>
      <w:r>
        <w:rPr>
          <w:rFonts w:ascii="Calibri" w:cs="Calibri" w:eastAsia="Calibri" w:hAnsi="Calibri"/>
          <w:color w:val="1F2937"/>
          <w:sz w:val="22"/>
          <w:szCs w:val="22"/>
        </w:rPr>
        <w:t xml:space="preserve">Quand une remorque a été affectée à un quai (par Loader, Dekit ou automatiquement via une affectation), sa tuile affiche Docked — appuyez dessus une fois la remorque physiquement placée à ce quai pour le confirmer.</w:t>
      </w:r>
    </w:p>
    <w:p>
      <w:pPr>
        <w:pStyle w:val="Heading2"/>
        <w:spacing w:after="160" w:before="360"/>
      </w:pPr>
      <w:r>
        <w:rPr>
          <w:rFonts w:ascii="Calibri" w:cs="Calibri" w:eastAsia="Calibri" w:hAnsi="Calibri"/>
          <w:b/>
          <w:bCs/>
          <w:color w:val="1F2937"/>
          <w:sz w:val="27"/>
          <w:szCs w:val="27"/>
        </w:rPr>
        <w:t xml:space="preserve">9.2 Prendre en charge pour l'expédition</w:t>
      </w:r>
    </w:p>
    <w:p>
      <w:pPr>
        <w:spacing w:after="200" w:line="300"/>
      </w:pPr>
      <w:r>
        <w:rPr>
          <w:rFonts w:ascii="Calibri" w:cs="Calibri" w:eastAsia="Calibri" w:hAnsi="Calibri"/>
          <w:color w:val="1F2937"/>
          <w:sz w:val="22"/>
          <w:szCs w:val="22"/>
        </w:rPr>
        <w:t xml:space="preserve">Une fois qu'une remorque est Loaded et qu'un conducteur lui a été affecté (voir le chapitre 10), sa tuile propose Collect for dispatch — appuyez dessus une fois la remorque attelée et en route vers la barrière.</w:t>
      </w:r>
    </w:p>
    <w:p>
      <w:pPr>
        <w:pStyle w:val="Heading2"/>
        <w:spacing w:after="160" w:before="360"/>
      </w:pPr>
      <w:r>
        <w:rPr>
          <w:rFonts w:ascii="Calibri" w:cs="Calibri" w:eastAsia="Calibri" w:hAnsi="Calibri"/>
          <w:b/>
          <w:bCs/>
          <w:color w:val="1F2937"/>
          <w:sz w:val="27"/>
          <w:szCs w:val="27"/>
        </w:rPr>
        <w:t xml:space="preserve">9.3 Mouvements en attente</w:t>
      </w:r>
    </w:p>
    <w:p>
      <w:pPr>
        <w:spacing w:after="200" w:line="300"/>
      </w:pPr>
      <w:r>
        <w:rPr>
          <w:rFonts w:ascii="Calibri" w:cs="Calibri" w:eastAsia="Calibri" w:hAnsi="Calibri"/>
          <w:color w:val="1F2937"/>
          <w:sz w:val="22"/>
          <w:szCs w:val="22"/>
        </w:rPr>
        <w:t xml:space="preserve">Toute demande Move To ou Park up de Loader ou Dekit apparaît dans le tableau Pending Moves sous le plan, avec la remorque, son quai d'origine et sa destination — ou « Park up (leave idle/available) » s'il n'y a pas de quai de destination. Terminez-la (Complete) une fois le déplacement effectué, ou annulez-la (Cancel) si elle n'est plus nécessaire.</w:t>
      </w:r>
    </w:p>
    <w:p>
      <w:pPr>
        <w:pStyle w:val="Heading2"/>
        <w:spacing w:after="160" w:before="360"/>
      </w:pPr>
      <w:r>
        <w:rPr>
          <w:rFonts w:ascii="Calibri" w:cs="Calibri" w:eastAsia="Calibri" w:hAnsi="Calibri"/>
          <w:b/>
          <w:bCs/>
          <w:color w:val="1F2937"/>
          <w:sz w:val="27"/>
          <w:szCs w:val="27"/>
        </w:rPr>
        <w:t xml:space="preserve">9.4 Annuler une affectation Dekit</w:t>
      </w:r>
    </w:p>
    <w:p>
      <w:pPr>
        <w:spacing w:after="200" w:line="300"/>
      </w:pPr>
      <w:r>
        <w:rPr>
          <w:rFonts w:ascii="Calibri" w:cs="Calibri" w:eastAsia="Calibri" w:hAnsi="Calibri"/>
          <w:color w:val="1F2937"/>
          <w:sz w:val="22"/>
          <w:szCs w:val="22"/>
        </w:rPr>
        <w:t xml:space="preserve">Une remorque affectée à un quai Dekit mais pas encore à quai (Docked) peut être annulée directement depuis sa tuile, ce qui libère de nouveau le quai.</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10. Dispatch</w:t>
      </w:r>
    </w:p>
    <w:p>
      <w:pPr>
        <w:spacing w:after="200" w:line="300"/>
      </w:pPr>
      <w:r>
        <w:rPr>
          <w:rFonts w:ascii="Calibri" w:cs="Calibri" w:eastAsia="Calibri" w:hAnsi="Calibri"/>
          <w:color w:val="1F2937"/>
          <w:sz w:val="22"/>
          <w:szCs w:val="22"/>
        </w:rPr>
        <w:t xml:space="preserve">Dispatch affecte un conducteur et un camion à une tournée une fois le chargement terminé.</w:t>
      </w:r>
    </w:p>
    <w:p>
      <w:pPr>
        <w:pStyle w:val="Heading2"/>
        <w:spacing w:after="160" w:before="360"/>
      </w:pPr>
      <w:r>
        <w:rPr>
          <w:rFonts w:ascii="Calibri" w:cs="Calibri" w:eastAsia="Calibri" w:hAnsi="Calibri"/>
          <w:b/>
          <w:bCs/>
          <w:color w:val="1F2937"/>
          <w:sz w:val="27"/>
          <w:szCs w:val="27"/>
        </w:rPr>
        <w:t xml:space="preserve">10.1 Affecter un conducteur et un camion</w:t>
      </w:r>
    </w:p>
    <w:p>
      <w:pPr>
        <w:spacing w:after="200" w:line="300"/>
      </w:pPr>
      <w:r>
        <w:rPr>
          <w:rFonts w:ascii="Calibri" w:cs="Calibri" w:eastAsia="Calibri" w:hAnsi="Calibri"/>
          <w:color w:val="1F2937"/>
          <w:sz w:val="22"/>
          <w:szCs w:val="22"/>
        </w:rPr>
        <w:t xml:space="preserve">Un camion peut être affecté seul, à l'avance, si vous savez déjà lequel effectue la tournée. Un conducteur, en revanche, ne peut jamais être affecté sans camion — si la remorque n'en a pas déjà un, vous devrez choisir un camion en même temps que vous saisissez le nom du conducteur. C'est voulu : l'écran de barrière de Security refuse d'expédier toute remorque avec un conducteur mais sans camion, ce qui évite de le découvrir à la barrière plutôt qu'au bureau.</w:t>
      </w:r>
    </w:p>
    <w:p>
      <w:pPr>
        <w:pStyle w:val="Heading2"/>
        <w:spacing w:after="160" w:before="360"/>
      </w:pPr>
      <w:r>
        <w:rPr>
          <w:rFonts w:ascii="Calibri" w:cs="Calibri" w:eastAsia="Calibri" w:hAnsi="Calibri"/>
          <w:b/>
          <w:bCs/>
          <w:color w:val="1F2937"/>
          <w:sz w:val="27"/>
          <w:szCs w:val="27"/>
        </w:rPr>
        <w:t xml:space="preserve">10.2 Conducteur affecté — dernières 24 heures</w:t>
      </w:r>
    </w:p>
    <w:p>
      <w:pPr>
        <w:spacing w:after="200" w:line="300"/>
      </w:pPr>
      <w:r>
        <w:rPr>
          <w:rFonts w:ascii="Calibri" w:cs="Calibri" w:eastAsia="Calibri" w:hAnsi="Calibri"/>
          <w:color w:val="1F2937"/>
          <w:sz w:val="22"/>
          <w:szCs w:val="22"/>
        </w:rPr>
        <w:t xml:space="preserve">Sous la liste des affectations se trouve une fenêtre glissante de 24 heures des dernières affectations — remorque, tournée, conducteur, camion et heure d'affectation — pour voir ce que Dispatch a fait récemment sans que la liste grossisse indéfiniment.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11. Security</w:t>
      </w:r>
    </w:p>
    <w:p>
      <w:pPr>
        <w:spacing w:after="200" w:line="300"/>
      </w:pPr>
      <w:r>
        <w:rPr>
          <w:rFonts w:ascii="Calibri" w:cs="Calibri" w:eastAsia="Calibri" w:hAnsi="Calibri"/>
          <w:color w:val="1F2937"/>
          <w:sz w:val="22"/>
          <w:szCs w:val="22"/>
        </w:rPr>
        <w:t xml:space="preserve">Security enregistre chaque passage de remorque à la barrière, dans les deux sens, depuis l'ordinateur du poste de garde.</w:t>
      </w:r>
    </w:p>
    <w:p>
      <w:pPr>
        <w:pStyle w:val="Heading2"/>
        <w:spacing w:after="160" w:before="360"/>
      </w:pPr>
      <w:r>
        <w:rPr>
          <w:rFonts w:ascii="Calibri" w:cs="Calibri" w:eastAsia="Calibri" w:hAnsi="Calibri"/>
          <w:b/>
          <w:bCs/>
          <w:color w:val="1F2937"/>
          <w:sz w:val="27"/>
          <w:szCs w:val="27"/>
        </w:rPr>
        <w:t xml:space="preserve">11.1 Sortie</w:t>
      </w:r>
    </w:p>
    <w:p>
      <w:pPr>
        <w:spacing w:after="200" w:line="300"/>
      </w:pPr>
      <w:r>
        <w:rPr>
          <w:rFonts w:ascii="Calibri" w:cs="Calibri" w:eastAsia="Calibri" w:hAnsi="Calibri"/>
          <w:color w:val="1F2937"/>
          <w:sz w:val="22"/>
          <w:szCs w:val="22"/>
        </w:rPr>
        <w:t xml:space="preserve">Choisissez un chargement terminé et affecté dans la liste « Ready for dispatch » — cela affiche automatiquement la remorque, le conducteur et le camion de ce chargement pour que vous confirmiez visuellement qu'il s'agit du bon avant d'enregistrer la sortie. Le champ Trailer Number se remplit d'après votre sélection mais reste entièrement modifiable si vous devez le corriger.</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Security ne pourra pas enregistrer la sortie  </w:t>
      </w:r>
      <w:r>
        <w:rPr>
          <w:rFonts w:ascii="Calibri" w:cs="Calibri" w:eastAsia="Calibri" w:hAnsi="Calibri"/>
          <w:color w:val="4B5563"/>
          <w:sz w:val="22"/>
          <w:szCs w:val="22"/>
        </w:rPr>
        <w:t xml:space="preserve"> d'une remorque qui a un conducteur mais pas de camion affecté — Dispatch doit d'abord corriger cela.</w:t>
      </w:r>
    </w:p>
    <w:p>
      <w:pPr>
        <w:pStyle w:val="Heading2"/>
        <w:spacing w:after="160" w:before="360"/>
      </w:pPr>
      <w:r>
        <w:rPr>
          <w:rFonts w:ascii="Calibri" w:cs="Calibri" w:eastAsia="Calibri" w:hAnsi="Calibri"/>
          <w:b/>
          <w:bCs/>
          <w:color w:val="1F2937"/>
          <w:sz w:val="27"/>
          <w:szCs w:val="27"/>
        </w:rPr>
        <w:t xml:space="preserve">11.2 Entrée</w:t>
      </w:r>
    </w:p>
    <w:p>
      <w:pPr>
        <w:spacing w:after="200" w:line="300"/>
      </w:pPr>
      <w:r>
        <w:rPr>
          <w:rFonts w:ascii="Calibri" w:cs="Calibri" w:eastAsia="Calibri" w:hAnsi="Calibri"/>
          <w:color w:val="1F2937"/>
          <w:sz w:val="22"/>
          <w:szCs w:val="22"/>
        </w:rPr>
        <w:t xml:space="preserve">Choisissez dans la liste « Expected back », ou saisissez directement le numéro de la remorque si un conducteur a échangé de remorque en route et que celle qui est physiquement arrivée ne correspond pas à ce qui était attendu — le champ n'est jamais verrouillé sur la liste.</w:t>
      </w:r>
    </w:p>
    <w:p>
      <w:pPr>
        <w:spacing w:after="200" w:line="300"/>
      </w:pPr>
      <w:r>
        <w:rPr>
          <w:rFonts w:ascii="Calibri" w:cs="Calibri" w:eastAsia="Calibri" w:hAnsi="Calibri"/>
          <w:color w:val="1F2937"/>
          <w:sz w:val="22"/>
          <w:szCs w:val="22"/>
        </w:rPr>
        <w:t xml:space="preserve">Cochez les types de marchandise qui décrivent ce que la remorque ramène (Dekit, Shop return, Frozen, Chill, Ambient, Xdock ou Empty) — c'est ce qui l'oriente vers l'écran de Dekit, celui de Loader, ou directement vers l'usage général.</w:t>
      </w:r>
    </w:p>
    <w:p>
      <w:pPr>
        <w:pStyle w:val="Heading2"/>
        <w:spacing w:after="160" w:before="360"/>
      </w:pPr>
      <w:r>
        <w:rPr>
          <w:rFonts w:ascii="Calibri" w:cs="Calibri" w:eastAsia="Calibri" w:hAnsi="Calibri"/>
          <w:b/>
          <w:bCs/>
          <w:color w:val="1F2937"/>
          <w:sz w:val="27"/>
          <w:szCs w:val="27"/>
        </w:rPr>
        <w:t xml:space="preserve">11.3 Transporteur</w:t>
      </w:r>
    </w:p>
    <w:p>
      <w:pPr>
        <w:spacing w:after="200" w:line="300"/>
      </w:pPr>
      <w:r>
        <w:rPr>
          <w:rFonts w:ascii="Calibri" w:cs="Calibri" w:eastAsia="Calibri" w:hAnsi="Calibri"/>
          <w:color w:val="1F2937"/>
          <w:sz w:val="22"/>
          <w:szCs w:val="22"/>
        </w:rPr>
        <w:t xml:space="preserve">Le champ Haulier se pré-remplit d'après le Default Haulier du site (défini par Admin — voir 5.2) dans les deux sens, mais reste toujours un champ de texte simple que vous pouvez modifier pour un chargement précis.</w:t>
      </w:r>
    </w:p>
    <w:p>
      <w:pPr>
        <w:pStyle w:val="Heading2"/>
        <w:spacing w:after="160" w:before="360"/>
      </w:pPr>
      <w:r>
        <w:rPr>
          <w:rFonts w:ascii="Calibri" w:cs="Calibri" w:eastAsia="Calibri" w:hAnsi="Calibri"/>
          <w:b/>
          <w:bCs/>
          <w:color w:val="1F2937"/>
          <w:sz w:val="27"/>
          <w:szCs w:val="27"/>
        </w:rPr>
        <w:t xml:space="preserve">11.4 Historique des passages</w:t>
      </w:r>
    </w:p>
    <w:p>
      <w:pPr>
        <w:spacing w:after="200" w:line="300"/>
      </w:pPr>
      <w:r>
        <w:rPr>
          <w:rFonts w:ascii="Calibri" w:cs="Calibri" w:eastAsia="Calibri" w:hAnsi="Calibri"/>
          <w:color w:val="1F2937"/>
          <w:sz w:val="22"/>
          <w:szCs w:val="22"/>
        </w:rPr>
        <w:t xml:space="preserve">Un journal continu de chaque événement de barrière de votre site, du plus récent au plus ancien, à consulter si une question se pose plus tard.</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12. Fleet</w:t>
      </w:r>
    </w:p>
    <w:p>
      <w:pPr>
        <w:spacing w:after="200" w:line="300"/>
      </w:pPr>
      <w:r>
        <w:rPr>
          <w:rFonts w:ascii="Calibri" w:cs="Calibri" w:eastAsia="Calibri" w:hAnsi="Calibri"/>
          <w:color w:val="1F2937"/>
          <w:sz w:val="22"/>
          <w:szCs w:val="22"/>
        </w:rPr>
        <w:t xml:space="preserve">Fleet gère le parc de camions et de remorques disponibles sur tous les sites — contrairement à la plupart des rôles, la vue de Fleet n'est pas limitée à un seul site.</w:t>
      </w:r>
    </w:p>
    <w:p>
      <w:pPr>
        <w:pStyle w:val="Heading2"/>
        <w:spacing w:after="160" w:before="360"/>
      </w:pPr>
      <w:r>
        <w:rPr>
          <w:rFonts w:ascii="Calibri" w:cs="Calibri" w:eastAsia="Calibri" w:hAnsi="Calibri"/>
          <w:b/>
          <w:bCs/>
          <w:color w:val="1F2937"/>
          <w:sz w:val="27"/>
          <w:szCs w:val="27"/>
        </w:rPr>
        <w:t xml:space="preserve">12.1 Remorques</w:t>
      </w:r>
    </w:p>
    <w:p>
      <w:pPr>
        <w:spacing w:after="200" w:line="300"/>
      </w:pPr>
      <w:r>
        <w:rPr>
          <w:rFonts w:ascii="Calibri" w:cs="Calibri" w:eastAsia="Calibri" w:hAnsi="Calibri"/>
          <w:color w:val="1F2937"/>
          <w:sz w:val="22"/>
          <w:szCs w:val="22"/>
        </w:rPr>
        <w:t xml:space="preserve">Recherchez dans la liste complète des remorques, ajoutez une nouvelle remorque au parc, retirez-en une définitivement ou marquez-en une VOR (véhicule hors service).</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Marquer une remorque VOR.  </w:t>
      </w:r>
      <w:r>
        <w:rPr>
          <w:rFonts w:ascii="Calibri" w:cs="Calibri" w:eastAsia="Calibri" w:hAnsi="Calibri"/>
          <w:color w:val="4B5563"/>
          <w:sz w:val="22"/>
          <w:szCs w:val="22"/>
        </w:rPr>
        <w:t xml:space="preserve"> Si elle est libre dans le dépôt, elle est retenue immédiatement par VMU ; si elle est en tournée, elle est retenue automatiquement dès son prochain retour sur le site. Dans les deux cas, seul VMU peut la libérer (chapitre 13).</w:t>
      </w:r>
    </w:p>
    <w:p>
      <w:pPr>
        <w:pStyle w:val="Heading2"/>
        <w:spacing w:after="160" w:before="360"/>
      </w:pPr>
      <w:r>
        <w:rPr>
          <w:rFonts w:ascii="Calibri" w:cs="Calibri" w:eastAsia="Calibri" w:hAnsi="Calibri"/>
          <w:b/>
          <w:bCs/>
          <w:color w:val="1F2937"/>
          <w:sz w:val="27"/>
          <w:szCs w:val="27"/>
        </w:rPr>
        <w:t xml:space="preserve">12.2 Camions</w:t>
      </w:r>
    </w:p>
    <w:p>
      <w:pPr>
        <w:spacing w:after="200" w:line="300"/>
      </w:pPr>
      <w:r>
        <w:rPr>
          <w:rFonts w:ascii="Calibri" w:cs="Calibri" w:eastAsia="Calibri" w:hAnsi="Calibri"/>
          <w:color w:val="1F2937"/>
          <w:sz w:val="22"/>
          <w:szCs w:val="22"/>
        </w:rPr>
        <w:t xml:space="preserve">Le même principe que pour les remorques : ajouter, retirer et marquer VOR avec un motif facultatif. Un camion VOR s'affiche « Held by VMU » jusqu'à sa libération.</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13. VMU</w:t>
      </w:r>
    </w:p>
    <w:p>
      <w:pPr>
        <w:spacing w:after="200" w:line="300"/>
      </w:pPr>
      <w:r>
        <w:rPr>
          <w:rFonts w:ascii="Calibri" w:cs="Calibri" w:eastAsia="Calibri" w:hAnsi="Calibri"/>
          <w:color w:val="1F2937"/>
          <w:sz w:val="22"/>
          <w:szCs w:val="22"/>
        </w:rPr>
        <w:t xml:space="preserve">VMU (Vehicle Maintenance Unit) est l'endroit où les remorques et camions que Fleet a signalés VOR sont retenus jusqu'à ce qu'ils soient aptes à retourner en service.</w:t>
      </w:r>
    </w:p>
    <w:p>
      <w:pPr>
        <w:pStyle w:val="Heading2"/>
        <w:spacing w:after="160" w:before="360"/>
      </w:pPr>
      <w:r>
        <w:rPr>
          <w:rFonts w:ascii="Calibri" w:cs="Calibri" w:eastAsia="Calibri" w:hAnsi="Calibri"/>
          <w:b/>
          <w:bCs/>
          <w:color w:val="1F2937"/>
          <w:sz w:val="27"/>
          <w:szCs w:val="27"/>
        </w:rPr>
        <w:t xml:space="preserve">13.1 Remorques retenues</w:t>
      </w:r>
    </w:p>
    <w:p>
      <w:pPr>
        <w:spacing w:after="200" w:line="300"/>
      </w:pPr>
      <w:r>
        <w:rPr>
          <w:rFonts w:ascii="Calibri" w:cs="Calibri" w:eastAsia="Calibri" w:hAnsi="Calibri"/>
          <w:color w:val="1F2937"/>
          <w:sz w:val="22"/>
          <w:szCs w:val="22"/>
        </w:rPr>
        <w:t xml:space="preserve">Toutes les remorques actuellement retenues par VMU, sur tous les sites, avec leur type et leur dernière tournée. Release les remet directement dans le parc disponible.</w:t>
      </w:r>
    </w:p>
    <w:p>
      <w:pPr>
        <w:pStyle w:val="Heading2"/>
        <w:spacing w:after="160" w:before="360"/>
      </w:pPr>
      <w:r>
        <w:rPr>
          <w:rFonts w:ascii="Calibri" w:cs="Calibri" w:eastAsia="Calibri" w:hAnsi="Calibri"/>
          <w:b/>
          <w:bCs/>
          <w:color w:val="1F2937"/>
          <w:sz w:val="27"/>
          <w:szCs w:val="27"/>
        </w:rPr>
        <w:t xml:space="preserve">13.2 Camions retenus</w:t>
      </w:r>
    </w:p>
    <w:p>
      <w:pPr>
        <w:spacing w:after="200" w:line="300"/>
      </w:pPr>
      <w:r>
        <w:rPr>
          <w:rFonts w:ascii="Calibri" w:cs="Calibri" w:eastAsia="Calibri" w:hAnsi="Calibri"/>
          <w:color w:val="1F2937"/>
          <w:sz w:val="22"/>
          <w:szCs w:val="22"/>
        </w:rPr>
        <w:t xml:space="preserve">Tous les camions VOR, avec le motif indiqué par Fleet lors du signalement. Release le renvoie dans la liste des disponibles de Dispatch.</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14. Dépannage</w:t>
      </w:r>
    </w:p>
    <w:p>
      <w:pPr>
        <w:pStyle w:val="Heading2"/>
        <w:spacing w:after="160" w:before="360"/>
      </w:pPr>
      <w:r>
        <w:rPr>
          <w:rFonts w:ascii="Calibri" w:cs="Calibri" w:eastAsia="Calibri" w:hAnsi="Calibri"/>
          <w:b/>
          <w:bCs/>
          <w:color w:val="1F2937"/>
          <w:sz w:val="27"/>
          <w:szCs w:val="27"/>
        </w:rPr>
        <w:t xml:space="preserve">14.1 « This file is in use » après la désinstallation</w:t>
      </w:r>
    </w:p>
    <w:p>
      <w:pPr>
        <w:spacing w:after="200" w:line="300"/>
      </w:pPr>
      <w:r>
        <w:rPr>
          <w:rFonts w:ascii="Calibri" w:cs="Calibri" w:eastAsia="Calibri" w:hAnsi="Calibri"/>
          <w:color w:val="1F2937"/>
          <w:sz w:val="22"/>
          <w:szCs w:val="22"/>
        </w:rPr>
        <w:t xml:space="preserve">TASc6 fonctionne normalement sans fenêtre visible — l'icône de la zone de notification le contrôle, pas un programme de la barre des tâches. Windows peut néanmoins garder un fichier ouvert à cause d'une copie de Node.js qui tourne en arrière-plan, le plus souvent quand TASc6 a été lancé depuis le raccourci « Troubleshooting (console window) » ou est resté en marche avant une réinstallation.</w:t>
      </w:r>
    </w:p>
    <w:p>
      <w:pPr>
        <w:pStyle w:val="ListParagraph"/>
        <w:numPr>
          <w:ilvl w:val="0"/>
          <w:numId w:val="11"/>
        </w:numPr>
        <w:spacing w:after="180" w:line="290"/>
      </w:pPr>
      <w:r>
        <w:rPr>
          <w:rFonts w:ascii="Calibri" w:cs="Calibri" w:eastAsia="Calibri" w:hAnsi="Calibri"/>
          <w:color w:val="1F2937"/>
          <w:sz w:val="22"/>
          <w:szCs w:val="22"/>
        </w:rPr>
        <w:t xml:space="preserve">Ouvrez le Gestionnaire des tâches (Ctrl+Maj+Échap) et cliquez sur l'onglet Détails.</w:t>
      </w:r>
    </w:p>
    <w:p>
      <w:pPr>
        <w:pStyle w:val="ListParagraph"/>
        <w:numPr>
          <w:ilvl w:val="0"/>
          <w:numId w:val="11"/>
        </w:numPr>
        <w:spacing w:after="180" w:line="290"/>
      </w:pPr>
      <w:r>
        <w:rPr>
          <w:rFonts w:ascii="Calibri" w:cs="Calibri" w:eastAsia="Calibri" w:hAnsi="Calibri"/>
          <w:color w:val="1F2937"/>
          <w:sz w:val="22"/>
          <w:szCs w:val="22"/>
        </w:rPr>
        <w:t xml:space="preserve">Faites un clic droit sur les en-têtes de colonnes, choisissez Sélectionner les colonnes et cochez Ligne de commande.</w:t>
      </w:r>
    </w:p>
    <w:p>
      <w:pPr>
        <w:pStyle w:val="ListParagraph"/>
        <w:numPr>
          <w:ilvl w:val="0"/>
          <w:numId w:val="11"/>
        </w:numPr>
        <w:spacing w:after="180" w:line="290"/>
      </w:pPr>
      <w:r>
        <w:rPr>
          <w:rFonts w:ascii="Calibri" w:cs="Calibri" w:eastAsia="Calibri" w:hAnsi="Calibri"/>
          <w:color w:val="1F2937"/>
          <w:sz w:val="22"/>
          <w:szCs w:val="22"/>
        </w:rPr>
        <w:t xml:space="preserve">Triez par Nom et cherchez node.exe — la colonne Ligne de commande mentionnera server.js ou votre dossier d'installation de TASc6.</w:t>
      </w:r>
    </w:p>
    <w:p>
      <w:pPr>
        <w:pStyle w:val="ListParagraph"/>
        <w:numPr>
          <w:ilvl w:val="0"/>
          <w:numId w:val="11"/>
        </w:numPr>
        <w:spacing w:after="180" w:line="290"/>
      </w:pPr>
      <w:r>
        <w:rPr>
          <w:rFonts w:ascii="Calibri" w:cs="Calibri" w:eastAsia="Calibri" w:hAnsi="Calibri"/>
          <w:color w:val="1F2937"/>
          <w:sz w:val="22"/>
          <w:szCs w:val="22"/>
        </w:rPr>
        <w:t xml:space="preserve">Faites un clic droit dessus et choisissez Fin de tâche.</w:t>
      </w:r>
    </w:p>
    <w:p>
      <w:pPr>
        <w:pStyle w:val="ListParagraph"/>
        <w:numPr>
          <w:ilvl w:val="0"/>
          <w:numId w:val="11"/>
        </w:numPr>
        <w:spacing w:after="180" w:line="290"/>
      </w:pPr>
      <w:r>
        <w:rPr>
          <w:rFonts w:ascii="Calibri" w:cs="Calibri" w:eastAsia="Calibri" w:hAnsi="Calibri"/>
          <w:color w:val="1F2937"/>
          <w:sz w:val="22"/>
          <w:szCs w:val="22"/>
        </w:rPr>
        <w:t xml:space="preserve">Vérifiez aussi dans la barre des tâches s'il y a une fenêtre de console noire, et fermez-la le cas échéant.</w:t>
      </w:r>
    </w:p>
    <w:p>
      <w:pPr>
        <w:pStyle w:val="Heading2"/>
        <w:spacing w:after="160" w:before="360"/>
      </w:pPr>
      <w:r>
        <w:rPr>
          <w:rFonts w:ascii="Calibri" w:cs="Calibri" w:eastAsia="Calibri" w:hAnsi="Calibri"/>
          <w:b/>
          <w:bCs/>
          <w:color w:val="1F2937"/>
          <w:sz w:val="27"/>
          <w:szCs w:val="27"/>
        </w:rPr>
        <w:t xml:space="preserve">14.2 L'icône indique Stopped alors que TASc6 fonctionne manifestement</w:t>
      </w:r>
    </w:p>
    <w:p>
      <w:pPr>
        <w:spacing w:after="200" w:line="300"/>
      </w:pPr>
      <w:r>
        <w:rPr>
          <w:rFonts w:ascii="Calibri" w:cs="Calibri" w:eastAsia="Calibri" w:hAnsi="Calibri"/>
          <w:color w:val="1F2937"/>
          <w:sz w:val="22"/>
          <w:szCs w:val="22"/>
        </w:rPr>
        <w:t xml:space="preserve">Faites un clic droit sur l'icône et choisissez Start. Si TASc6 est réellement déjà en cours d'exécution (par exemple lancé depuis le raccourci console plutôt que depuis l'icône), il le détecte et ne démarre pas une seconde copie — l'essai est sans risque. Si l'état semble toujours incorrect, redémarrez l'icône elle-même : clic droit → Exit, puis rouvrez TASc6 depuis le menu Démarrer.</w:t>
      </w:r>
    </w:p>
    <w:p>
      <w:pPr>
        <w:pStyle w:val="Heading2"/>
        <w:spacing w:after="160" w:before="360"/>
      </w:pPr>
      <w:r>
        <w:rPr>
          <w:rFonts w:ascii="Calibri" w:cs="Calibri" w:eastAsia="Calibri" w:hAnsi="Calibri"/>
          <w:b/>
          <w:bCs/>
          <w:color w:val="1F2937"/>
          <w:sz w:val="27"/>
          <w:szCs w:val="27"/>
        </w:rPr>
        <w:t xml:space="preserve">14.3 Personne d'autre sur le site ne peut joindre TASc6</w:t>
      </w:r>
    </w:p>
    <w:p>
      <w:pPr>
        <w:spacing w:after="200" w:line="300"/>
      </w:pPr>
      <w:r>
        <w:rPr>
          <w:rFonts w:ascii="Calibri" w:cs="Calibri" w:eastAsia="Calibri" w:hAnsi="Calibri"/>
          <w:color w:val="1F2937"/>
          <w:sz w:val="22"/>
          <w:szCs w:val="22"/>
        </w:rPr>
        <w:t xml:space="preserve">Vérifiez dans l'ordre :</w:t>
      </w:r>
    </w:p>
    <w:p>
      <w:pPr>
        <w:pStyle w:val="ListParagraph"/>
        <w:numPr>
          <w:ilvl w:val="0"/>
          <w:numId w:val="6"/>
        </w:numPr>
        <w:spacing w:after="120" w:line="290"/>
      </w:pPr>
      <w:r>
        <w:rPr>
          <w:rFonts w:ascii="Calibri" w:cs="Calibri" w:eastAsia="Calibri" w:hAnsi="Calibri"/>
          <w:color w:val="1F2937"/>
          <w:sz w:val="22"/>
          <w:szCs w:val="22"/>
        </w:rPr>
        <w:t xml:space="preserve">La machine hôte est-elle allumée et l'icône indique-t-elle que TASc6 fonctionne ?</w:t>
      </w:r>
    </w:p>
    <w:p>
      <w:pPr>
        <w:pStyle w:val="ListParagraph"/>
        <w:numPr>
          <w:ilvl w:val="0"/>
          <w:numId w:val="6"/>
        </w:numPr>
        <w:spacing w:after="120" w:line="290"/>
      </w:pPr>
      <w:r>
        <w:rPr>
          <w:rFonts w:ascii="Calibri" w:cs="Calibri" w:eastAsia="Calibri" w:hAnsi="Calibri"/>
          <w:color w:val="1F2937"/>
          <w:sz w:val="22"/>
          <w:szCs w:val="22"/>
        </w:rPr>
        <w:t xml:space="preserve">L'invite du Pare-feu Windows pour Node.js a-t-elle été autorisée (voir 2.5) ?</w:t>
      </w:r>
    </w:p>
    <w:p>
      <w:pPr>
        <w:pStyle w:val="ListParagraph"/>
        <w:numPr>
          <w:ilvl w:val="0"/>
          <w:numId w:val="6"/>
        </w:numPr>
        <w:spacing w:after="120" w:line="290"/>
      </w:pPr>
      <w:r>
        <w:rPr>
          <w:rFonts w:ascii="Calibri" w:cs="Calibri" w:eastAsia="Calibri" w:hAnsi="Calibri"/>
          <w:color w:val="1F2937"/>
          <w:sz w:val="22"/>
          <w:szCs w:val="22"/>
        </w:rPr>
        <w:t xml:space="preserve">L'appareil qui tente de se connecter est-il sur le même réseau/VLAN que la machine hôte ?</w:t>
      </w:r>
    </w:p>
    <w:p>
      <w:pPr>
        <w:pStyle w:val="ListParagraph"/>
        <w:numPr>
          <w:ilvl w:val="0"/>
          <w:numId w:val="6"/>
        </w:numPr>
        <w:spacing w:after="120" w:line="290"/>
      </w:pPr>
      <w:r>
        <w:rPr>
          <w:rFonts w:ascii="Calibri" w:cs="Calibri" w:eastAsia="Calibri" w:hAnsi="Calibri"/>
          <w:color w:val="1F2937"/>
          <w:sz w:val="22"/>
          <w:szCs w:val="22"/>
        </w:rPr>
        <w:t xml:space="preserve">Utilise-t-il l'adresse fixe de la machine hôte, et non « localhost » (qui ne fonctionne que sur la machine hôte elle-même) ?</w:t>
      </w:r>
    </w:p>
    <w:p>
      <w:pPr>
        <w:pStyle w:val="ListParagraph"/>
        <w:numPr>
          <w:ilvl w:val="0"/>
          <w:numId w:val="6"/>
        </w:numPr>
        <w:spacing w:after="120" w:line="290"/>
      </w:pPr>
      <w:r>
        <w:rPr>
          <w:rFonts w:ascii="Calibri" w:cs="Calibri" w:eastAsia="Calibri" w:hAnsi="Calibri"/>
          <w:color w:val="1F2937"/>
          <w:sz w:val="22"/>
          <w:szCs w:val="22"/>
        </w:rPr>
        <w:t xml:space="preserve">Pour une tablette : le signal Wi-Fi est-il réellement présent à cet endroit du dépôt ?</w:t>
      </w:r>
    </w:p>
    <w:p>
      <w:pPr>
        <w:pStyle w:val="Heading2"/>
        <w:spacing w:after="160" w:before="360"/>
      </w:pPr>
      <w:r>
        <w:rPr>
          <w:rFonts w:ascii="Calibri" w:cs="Calibri" w:eastAsia="Calibri" w:hAnsi="Calibri"/>
          <w:b/>
          <w:bCs/>
          <w:color w:val="1F2937"/>
          <w:sz w:val="27"/>
          <w:szCs w:val="27"/>
        </w:rPr>
        <w:t xml:space="preserve">14.4 Mot de passe oublié</w:t>
      </w:r>
    </w:p>
    <w:p>
      <w:pPr>
        <w:spacing w:after="200" w:line="300"/>
      </w:pPr>
      <w:r>
        <w:rPr>
          <w:rFonts w:ascii="Calibri" w:cs="Calibri" w:eastAsia="Calibri" w:hAnsi="Calibri"/>
          <w:color w:val="1F2937"/>
          <w:sz w:val="22"/>
          <w:szCs w:val="22"/>
        </w:rPr>
        <w:t xml:space="preserve">Seul Admin peut définir un nouveau mot de passe pour votre compte — il n'existe pas de réinitialisation en libre-service. Demandez à l'administrateur de votre site d'ouvrir Users, de modifier votre compte et de définir un nouveau mot de passe.</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15. Obtenir de l'aide</w:t>
      </w:r>
    </w:p>
    <w:p>
      <w:pPr>
        <w:spacing w:after="200" w:line="300"/>
      </w:pPr>
      <w:r>
        <w:rPr>
          <w:rFonts w:ascii="Calibri" w:cs="Calibri" w:eastAsia="Calibri" w:hAnsi="Calibri"/>
          <w:color w:val="1F2937"/>
          <w:sz w:val="22"/>
          <w:szCs w:val="22"/>
        </w:rPr>
        <w:t xml:space="preserve">L'administrateur de votre site est le premier interlocuteur pour les questions quotidiennes — comptes, sites, quais et remorques sont autant de choses qu'il peut modifier directement.</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3400"/>
        <w:gridCol w:w="5638"/>
      </w:tblGrid>
      <w:tr>
        <w:trPr>
          <w:tblHeader/>
        </w:trPr>
        <w:tc>
          <w:tcPr>
            <w:tcW w:type="dxa" w:w="34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Besoin</w:t>
            </w:r>
          </w:p>
        </w:tc>
        <w:tc>
          <w:tcPr>
            <w:tcW w:type="dxa" w:w="56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Contact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Aide à l'installation</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licensing@tasc6.net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Licences et renouvellements</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licensing@tasc6.net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Demandes générales</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info@tasc6.net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Tout le reste</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tasc6.net/contact.html</w:t>
            </w:r>
          </w:p>
        </w:tc>
      </w:tr>
    </w:tbl>
    <w:p>
      <w:pPr>
        <w:spacing w:after="200" w:line="300"/>
      </w:pPr>
      <w:r>
        <w:rPr>
          <w:rFonts w:ascii="Calibri" w:cs="Calibri" w:eastAsia="Calibri" w:hAnsi="Calibri"/>
          <w:color w:val="1F2937"/>
          <w:sz w:val="22"/>
          <w:szCs w:val="22"/>
        </w:rPr>
        <w:t xml:space="preserve">TASc6 est conçu et assuré directement par l'équipe qui le développe — si quelque chose ne va pas dans votre dépôt, vous parlez à quelqu'un qui peut réellement le corriger, pas à une file de tickets.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60"/>
      </w:pPr>
    </w:lvl>
  </w:abstractNum>
  <w:abstractNum w:abstractNumId="3" w15:restartNumberingAfterBreak="0">
    <w:multiLevelType w:val="hybridMultilevel"/>
    <w:lvl w:ilvl="0" w15:tentative="1">
      <w:start w:val="1"/>
      <w:numFmt w:val="decimal"/>
      <w:lvlText w:val="%1."/>
      <w:lvlJc w:val="left"/>
      <w:pPr>
        <w:ind w:left="480" w:hanging="320"/>
      </w:pPr>
    </w:lvl>
  </w:abstractNum>
  <w:abstractNum w:abstractNumId="4" w15:restartNumberingAfterBreak="0">
    <w:multiLevelType w:val="hybridMultilevel"/>
    <w:lvl w:ilvl="0" w15:tentative="1">
      <w:start w:val="1"/>
      <w:numFmt w:val="decimal"/>
      <w:lvlText w:val="%1."/>
      <w:lvlJc w:val="left"/>
      <w:pPr>
        <w:ind w:left="480" w:hanging="320"/>
      </w:pPr>
    </w:lvl>
  </w:abstractNum>
  <w:abstractNum w:abstractNumId="5" w15:restartNumberingAfterBreak="0">
    <w:multiLevelType w:val="hybridMultilevel"/>
    <w:lvl w:ilvl="0" w15:tentative="1">
      <w:start w:val="1"/>
      <w:numFmt w:val="decimal"/>
      <w:lvlText w:val="%1."/>
      <w:lvlJc w:val="left"/>
      <w:pPr>
        <w:ind w:left="480" w:hanging="320"/>
      </w:pPr>
    </w:lvl>
  </w:abstractNum>
  <w:abstractNum w:abstractNumId="6" w15:restartNumberingAfterBreak="0">
    <w:multiLevelType w:val="hybridMultilevel"/>
    <w:lvl w:ilvl="0" w15:tentative="1">
      <w:start w:val="1"/>
      <w:numFmt w:val="decimal"/>
      <w:lvlText w:val="%1."/>
      <w:lvlJc w:val="left"/>
      <w:pPr>
        <w:ind w:left="480" w:hanging="320"/>
      </w:pPr>
    </w:lvl>
  </w:abstractNum>
  <w:abstractNum w:abstractNumId="7" w15:restartNumberingAfterBreak="0">
    <w:multiLevelType w:val="hybridMultilevel"/>
    <w:lvl w:ilvl="0" w15:tentative="1">
      <w:start w:val="1"/>
      <w:numFmt w:val="decimal"/>
      <w:lvlText w:val="%1."/>
      <w:lvlJc w:val="left"/>
      <w:pPr>
        <w:ind w:left="480" w:hanging="320"/>
      </w:pPr>
    </w:lvl>
  </w:abstractNum>
  <w:abstractNum w:abstractNumId="8" w15:restartNumberingAfterBreak="0">
    <w:multiLevelType w:val="hybridMultilevel"/>
    <w:lvl w:ilvl="0" w15:tentative="1">
      <w:start w:val="1"/>
      <w:numFmt w:val="decimal"/>
      <w:lvlText w:val="%1."/>
      <w:lvlJc w:val="left"/>
      <w:pPr>
        <w:ind w:left="480" w:hanging="320"/>
      </w:pPr>
    </w:lvl>
  </w:abstractNum>
  <w:abstractNum w:abstractNumId="9" w15:restartNumberingAfterBreak="0">
    <w:multiLevelType w:val="hybridMultilevel"/>
    <w:lvl w:ilvl="0" w15:tentative="1">
      <w:start w:val="1"/>
      <w:numFmt w:val="decimal"/>
      <w:lvlText w:val="%1."/>
      <w:lvlJc w:val="left"/>
      <w:pPr>
        <w:ind w:left="480" w:hanging="320"/>
      </w:pPr>
    </w:lvl>
  </w:abstractNum>
  <w:abstractNum w:abstractNumId="10" w15:restartNumberingAfterBreak="0">
    <w:multiLevelType w:val="hybridMultilevel"/>
    <w:lvl w:ilvl="0" w15:tentative="1">
      <w:start w:val="1"/>
      <w:numFmt w:val="decimal"/>
      <w:lvlText w:val="%1."/>
      <w:lvlJc w:val="left"/>
      <w:pPr>
        <w:ind w:left="480" w:hanging="320"/>
      </w:pPr>
    </w:lvl>
  </w:abstractNum>
  <w:abstractNum w:abstractNumId="11" w15:restartNumberingAfterBreak="0">
    <w:multiLevelType w:val="hybridMultilevel"/>
    <w:lvl w:ilvl="0" w15:tentative="1">
      <w:start w:val="1"/>
      <w:numFmt w:val="decimal"/>
      <w:lvlText w:val="%1."/>
      <w:lvlJc w:val="left"/>
      <w:pPr>
        <w:ind w:left="480" w:hanging="320"/>
      </w:pPr>
    </w:lvl>
  </w:abstractNum>
  <w:abstractNum w:abstractNumId="12" w15:restartNumberingAfterBreak="0">
    <w:multiLevelType w:val="hybridMultilevel"/>
    <w:lvl w:ilvl="0" w15:tentative="1">
      <w:start w:val="1"/>
      <w:numFmt w:val="decimal"/>
      <w:lvlText w:val="%1."/>
      <w:lvlJc w:val="left"/>
      <w:pPr>
        <w:ind w:left="480" w:hanging="320"/>
      </w:pPr>
    </w:lvl>
  </w:abstractNum>
  <w:abstractNum w:abstractNumId="13" w15:restartNumberingAfterBreak="0">
    <w:multiLevelType w:val="hybridMultilevel"/>
    <w:lvl w:ilvl="0" w15:tentative="1">
      <w:start w:val="1"/>
      <w:numFmt w:val="decimal"/>
      <w:lvlText w:val="%1."/>
      <w:lvlJc w:val="left"/>
      <w:pPr>
        <w:ind w:left="480" w:hanging="320"/>
      </w:pPr>
    </w:lvl>
  </w:abstractNum>
  <w:abstractNum w:abstractNumId="14" w15:restartNumberingAfterBreak="0">
    <w:multiLevelType w:val="hybridMultilevel"/>
    <w:lvl w:ilvl="0" w15:tentative="1">
      <w:start w:val="1"/>
      <w:numFmt w:val="decimal"/>
      <w:lvlText w:val="%1."/>
      <w:lvlJc w:val="left"/>
      <w:pPr>
        <w:ind w:left="480" w:hanging="320"/>
      </w:pPr>
    </w:lvl>
  </w:abstractNum>
  <w:abstractNum w:abstractNumId="15" w15:restartNumberingAfterBreak="0">
    <w:multiLevelType w:val="hybridMultilevel"/>
    <w:lvl w:ilvl="0" w15:tentative="1">
      <w:start w:val="1"/>
      <w:numFmt w:val="decimal"/>
      <w:lvlText w:val="%1."/>
      <w:lvlJc w:val="left"/>
      <w:pPr>
        <w:ind w:left="480" w:hanging="320"/>
      </w:pPr>
    </w:lvl>
  </w:abstractNum>
  <w:abstractNum w:abstractNumId="16" w15:restartNumberingAfterBreak="0">
    <w:multiLevelType w:val="hybridMultilevel"/>
    <w:lvl w:ilvl="0" w15:tentative="1">
      <w:start w:val="1"/>
      <w:numFmt w:val="decimal"/>
      <w:lvlText w:val="%1."/>
      <w:lvlJc w:val="left"/>
      <w:pPr>
        <w:ind w:left="480" w:hanging="320"/>
      </w:pPr>
    </w:lvl>
  </w:abstractNum>
  <w:abstractNum w:abstractNumId="17" w15:restartNumberingAfterBreak="0">
    <w:multiLevelType w:val="hybridMultilevel"/>
    <w:lvl w:ilvl="0" w15:tentative="1">
      <w:start w:val="1"/>
      <w:numFmt w:val="decimal"/>
      <w:lvlText w:val="%1."/>
      <w:lvlJc w:val="left"/>
      <w:pPr>
        <w:ind w:left="480" w:hanging="320"/>
      </w:pPr>
    </w:lvl>
  </w:abstractNum>
  <w:abstractNum w:abstractNumId="18" w15:restartNumberingAfterBreak="0">
    <w:multiLevelType w:val="hybridMultilevel"/>
    <w:lvl w:ilvl="0" w15:tentative="1">
      <w:start w:val="1"/>
      <w:numFmt w:val="decimal"/>
      <w:lvlText w:val="%1."/>
      <w:lvlJc w:val="left"/>
      <w:pPr>
        <w:ind w:left="480" w:hanging="320"/>
      </w:pPr>
    </w:lvl>
  </w:abstractNum>
  <w:abstractNum w:abstractNumId="19" w15:restartNumberingAfterBreak="0">
    <w:multiLevelType w:val="hybridMultilevel"/>
    <w:lvl w:ilvl="0" w15:tentative="1">
      <w:start w:val="1"/>
      <w:numFmt w:val="decimal"/>
      <w:lvlText w:val="%1."/>
      <w:lvlJc w:val="left"/>
      <w:pPr>
        <w:ind w:left="480" w:hanging="320"/>
      </w:pPr>
    </w:lvl>
  </w:abstractNum>
  <w:abstractNum w:abstractNumId="20" w15:restartNumberingAfterBreak="0">
    <w:multiLevelType w:val="hybridMultilevel"/>
    <w:lvl w:ilvl="0" w15:tentative="1">
      <w:start w:val="1"/>
      <w:numFmt w:val="decimal"/>
      <w:lvlText w:val="%1."/>
      <w:lvlJc w:val="left"/>
      <w:pPr>
        <w:ind w:left="480" w:hanging="320"/>
      </w:pPr>
    </w:lvl>
  </w:abstractNum>
  <w:abstractNum w:abstractNumId="21" w15:restartNumberingAfterBreak="0">
    <w:multiLevelType w:val="hybridMultilevel"/>
    <w:lvl w:ilvl="0" w15:tentative="1">
      <w:start w:val="1"/>
      <w:numFmt w:val="decimal"/>
      <w:lvlText w:val="%1."/>
      <w:lvlJc w:val="left"/>
      <w:pPr>
        <w:ind w:left="480" w:hanging="320"/>
      </w:pPr>
    </w:lvl>
  </w:abstractNum>
  <w:abstractNum w:abstractNumId="22" w15:restartNumberingAfterBreak="0">
    <w:multiLevelType w:val="hybridMultilevel"/>
    <w:lvl w:ilvl="0" w15:tentative="1">
      <w:start w:val="1"/>
      <w:numFmt w:val="decimal"/>
      <w:lvlText w:val="%1."/>
      <w:lvlJc w:val="left"/>
      <w:pPr>
        <w:ind w:left="480" w:hanging="320"/>
      </w:pPr>
    </w:lvl>
  </w:abstractNum>
  <w:abstractNum w:abstractNumId="23" w15:restartNumberingAfterBreak="0">
    <w:multiLevelType w:val="hybridMultilevel"/>
    <w:lvl w:ilvl="0" w15:tentative="1">
      <w:start w:val="1"/>
      <w:numFmt w:val="decimal"/>
      <w:lvlText w:val="%1."/>
      <w:lvlJc w:val="left"/>
      <w:pPr>
        <w:ind w:left="480" w:hanging="320"/>
      </w:pPr>
    </w:lvl>
  </w:abstractNum>
  <w:abstractNum w:abstractNumId="24" w15:restartNumberingAfterBreak="0">
    <w:multiLevelType w:val="hybridMultilevel"/>
    <w:lvl w:ilvl="0" w15:tentative="1">
      <w:start w:val="1"/>
      <w:numFmt w:val="decimal"/>
      <w:lvlText w:val="%1."/>
      <w:lvlJc w:val="left"/>
      <w:pPr>
        <w:ind w:left="480" w:hanging="320"/>
      </w:pPr>
    </w:lvl>
  </w:abstractNum>
  <w:abstractNum w:abstractNumId="25" w15:restartNumberingAfterBreak="0">
    <w:multiLevelType w:val="hybridMultilevel"/>
    <w:lvl w:ilvl="0" w15:tentative="1">
      <w:start w:val="1"/>
      <w:numFmt w:val="decimal"/>
      <w:lvlText w:val="%1."/>
      <w:lvlJc w:val="left"/>
      <w:pPr>
        <w:ind w:left="480" w:hanging="320"/>
      </w:pPr>
    </w:lvl>
  </w:abstractNum>
  <w:abstractNum w:abstractNumId="26" w15:restartNumberingAfterBreak="0">
    <w:multiLevelType w:val="hybridMultilevel"/>
    <w:lvl w:ilvl="0" w15:tentative="1">
      <w:start w:val="1"/>
      <w:numFmt w:val="decimal"/>
      <w:lvlText w:val="%1."/>
      <w:lvlJc w:val="left"/>
      <w:pPr>
        <w:ind w:left="480" w:hanging="32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2"/>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lang w:val="fr-FR"/>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TASc6 Guide utilisateur</dc:title>
  <dc:creator>TASc6 Ltd</dc:creator>
  <cp:lastModifiedBy>Un-named</cp:lastModifiedBy>
  <cp:revision>1</cp:revision>
  <dcterms:created xsi:type="dcterms:W3CDTF">2026-10-01T00:23:29.979Z</dcterms:created>
  <dcterms:modified xsi:type="dcterms:W3CDTF">2026-10-01T00:23:29.979Z</dcterms:modified>
</cp:coreProperties>
</file>

<file path=docProps/custom.xml><?xml version="1.0" encoding="utf-8"?>
<Properties xmlns="http://schemas.openxmlformats.org/officeDocument/2006/custom-properties" xmlns:vt="http://schemas.openxmlformats.org/officeDocument/2006/docPropsVTypes"/>
</file>