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200"/>
        <w:jc w:val="center"/>
      </w:pPr>
      <w:r>
        <w:rPr>
          <w:rFonts w:ascii="Calibri" w:cs="Calibri" w:eastAsia="Calibri" w:hAnsi="Calibri"/>
          <w:b/>
          <w:bCs/>
          <w:color w:val="92400E"/>
          <w:sz w:val="72"/>
          <w:szCs w:val="72"/>
        </w:rPr>
        <w:t xml:space="preserve">TASc6</w:t>
      </w:r>
    </w:p>
    <w:p>
      <w:pPr>
        <w:spacing w:after="60" w:before="120"/>
        <w:jc w:val="center"/>
      </w:pPr>
      <w:r>
        <w:rPr>
          <w:rFonts w:ascii="Calibri" w:cs="Calibri" w:eastAsia="Calibri" w:hAnsi="Calibri"/>
          <w:color w:val="4B5563"/>
          <w:sz w:val="28"/>
          <w:szCs w:val="28"/>
        </w:rPr>
        <w:t xml:space="preserve">Trailer Allocation Service Coordinator</w:t>
      </w:r>
    </w:p>
    <w:p>
      <w:pPr>
        <w:spacing w:after="1600" w:before="0"/>
        <w:jc w:val="center"/>
      </w:pPr>
      <w:r>
        <w:rPr>
          <w:rFonts w:ascii="Calibri" w:cs="Calibri" w:eastAsia="Calibri" w:hAnsi="Calibri"/>
          <w:b/>
          <w:bCs/>
          <w:color w:val="1F2937"/>
          <w:sz w:val="40"/>
          <w:szCs w:val="40"/>
        </w:rPr>
        <w:t xml:space="preserve">Podręcznik użytkownika</w:t>
      </w:r>
    </w:p>
    <w:p>
      <w:pPr>
        <w:spacing w:after="80"/>
        <w:jc w:val="center"/>
      </w:pPr>
      <w:r>
        <w:rPr>
          <w:rFonts w:ascii="Calibri" w:cs="Calibri" w:eastAsia="Calibri" w:hAnsi="Calibri"/>
          <w:color w:val="4B5563"/>
          <w:sz w:val="20"/>
          <w:szCs w:val="20"/>
        </w:rPr>
        <w:t xml:space="preserve">Obejmuje instalację, konfigurację lokalizacji i każdą rolę: Admin, Planner,</w:t>
      </w:r>
    </w:p>
    <w:p>
      <w:pPr>
        <w:spacing w:after="800"/>
        <w:jc w:val="center"/>
      </w:pPr>
      <w:r>
        <w:rPr>
          <w:rFonts w:ascii="Calibri" w:cs="Calibri" w:eastAsia="Calibri" w:hAnsi="Calibri"/>
          <w:color w:val="4B5563"/>
          <w:sz w:val="20"/>
          <w:szCs w:val="20"/>
        </w:rPr>
        <w:t xml:space="preserve">Loader, Dekit, Shunter, Dispatch, Security, Fleet i VMU.</w:t>
      </w:r>
    </w:p>
    <w:p>
      <w:pPr>
        <w:spacing w:after="40"/>
        <w:jc w:val="center"/>
      </w:pPr>
      <w:r>
        <w:rPr>
          <w:rFonts w:ascii="Calibri" w:cs="Calibri" w:eastAsia="Calibri" w:hAnsi="Calibri"/>
          <w:color w:val="4B5563"/>
          <w:sz w:val="20"/>
          <w:szCs w:val="20"/>
        </w:rPr>
        <w:t xml:space="preserve">TASc6 Ltd</w:t>
      </w:r>
    </w:p>
    <w:p>
      <w:pPr>
        <w:jc w:val="center"/>
      </w:pPr>
      <w:r>
        <w:rPr>
          <w:rFonts w:ascii="Calibri" w:cs="Calibri" w:eastAsia="Calibri" w:hAnsi="Calibri"/>
          <w:color w:val="4B5563"/>
          <w:sz w:val="20"/>
          <w:szCs w:val="20"/>
        </w:rPr>
        <w:t xml:space="preserve">info@tasc6.net  ·  tasc6.net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Spis treści</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color w:val="4B5563"/>
          <w:sz w:val="22"/>
          <w:szCs w:val="22"/>
        </w:rPr>
        <w:t xml:space="preserve">Kliknij ten spis prawym przyciskiem myszy i wybierz „Aktualizuj pole” (lub naciśnij F9), aby uzupełnić numery stron.</w:t>
      </w:r>
    </w:p>
    <w:sdt>
      <w:sdtPr>
        <w:alias w:val="Contents"/>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 Wprowadzenie</w:t>
      </w:r>
    </w:p>
    <w:p>
      <w:pPr>
        <w:spacing w:after="200" w:line="300"/>
      </w:pPr>
      <w:r>
        <w:rPr>
          <w:rFonts w:ascii="Calibri" w:cs="Calibri" w:eastAsia="Calibri" w:hAnsi="Calibri"/>
          <w:color w:val="1F2937"/>
          <w:sz w:val="22"/>
          <w:szCs w:val="22"/>
        </w:rPr>
        <w:t xml:space="preserve">TASc6 zastępuje tablice, radiotelefony i arkusze kalkulacyjne jednym podglądem na żywo każdego stanowiska, każdej naczepy i każdego przemieszczenia w Twojej bazie. Wszyscy, którzy mają do czynienia z naczepą — kto ją ładuje, kto wozi ją po bazie, kto rejestruje ją przy bramie, kto kieruje ją na trasę — patrzą na te same dane na żywo, na ekranie zbudowanym pod ich własną pracę.</w:t>
      </w:r>
    </w:p>
    <w:p>
      <w:pPr>
        <w:spacing w:after="200" w:line="300"/>
      </w:pPr>
      <w:r>
        <w:rPr>
          <w:rFonts w:ascii="Calibri" w:cs="Calibri" w:eastAsia="Calibri" w:hAnsi="Calibri"/>
          <w:color w:val="1F2937"/>
          <w:sz w:val="22"/>
          <w:szCs w:val="22"/>
        </w:rPr>
        <w:t xml:space="preserve">Zamiast jednego ekranu próbującego robić wszystko, TASc6 daje każdej roli dokładnie to, czego potrzebuje, i nic więcej:</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1800"/>
        <w:gridCol w:w="5600"/>
        <w:gridCol w:w="2238"/>
      </w:tblGrid>
      <w:tr>
        <w:trPr>
          <w:tblHeader/>
        </w:trPr>
        <w:tc>
          <w:tcPr>
            <w:tcW w:type="dxa" w:w="18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Rola</w:t>
            </w:r>
          </w:p>
        </w:tc>
        <w:tc>
          <w:tcPr>
            <w:tcW w:type="dxa" w:w="5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Co robi</w:t>
            </w:r>
          </w:p>
        </w:tc>
        <w:tc>
          <w:tcPr>
            <w:tcW w:type="dxa" w:w="22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Typowe urządzenie</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Admin</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Konfiguruje lokalizacje, użytkowników, naczepy, ciągniki, stanowiska i kopie zapasowe.</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Komputer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Planner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Definiuje punkty dostawy i ograniczenia stanowisk oraz buduje codzienne trasy.</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Komputer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Loader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Przypisuje naczepy do stanowisk i oznacza załadunki jako zakończone.</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Komputer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Dekit</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Opróżnia wracające naczepy, które wróciły ze starym towarem lub opakowaniami.</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Komputer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Shunter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Przestawia naczepy po bazie z tabletu w kabinie.</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Tablet (w kabinie)</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Dispatch</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Przypisuje kierowcę i ciągnik do załadowanej naczepy przed wyjazdem.</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Komputer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Security</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Rejestruje każdą naczepę wjeżdżającą i wyjeżdżającą przez bramę.</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Komputer (portiernia)</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Fleet</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Prowadzi pulę ciągników i naczep oraz oznacza je jako wyłączone z ruchu (VOR).</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Komputer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VMU</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Przywraca ciągniki i naczepy do użytku po naprawie.</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Komputer</w:t>
            </w:r>
          </w:p>
        </w:tc>
      </w:tr>
    </w:tbl>
    <w:p>
      <w:pPr>
        <w:spacing w:after="200" w:line="300"/>
      </w:pPr>
      <w:r>
        <w:rPr>
          <w:rFonts w:ascii="Calibri" w:cs="Calibri" w:eastAsia="Calibri" w:hAnsi="Calibri"/>
          <w:color w:val="1F2937"/>
          <w:sz w:val="22"/>
          <w:szCs w:val="22"/>
        </w:rPr>
        <w:t xml:space="preserve">Ten podręcznik składa się z czterech części: instalacja TASc6, konfiguracja sieci i urządzeń w Twojej lokalizacji, rozdział dla każdej z powyższych ról oraz rozdział o rozwiązywaniu problemów na końcu.</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Uwaga.  </w:t>
      </w:r>
      <w:r>
        <w:rPr>
          <w:rFonts w:ascii="Calibri" w:cs="Calibri" w:eastAsia="Calibri" w:hAnsi="Calibri"/>
          <w:color w:val="4B5563"/>
          <w:sz w:val="22"/>
          <w:szCs w:val="22"/>
        </w:rPr>
        <w:t xml:space="preserve"> Ekrany aktualizują się w tej samej chwili, gdy gdzie indziej coś się zmieni — nie ma przycisku odświeżania, którego trzeba by szukać, i żaden nie jest potrzebny.</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2. Instalacja TASc6</w:t>
      </w:r>
    </w:p>
    <w:p>
      <w:pPr>
        <w:pStyle w:val="Heading2"/>
        <w:spacing w:after="160" w:before="360"/>
      </w:pPr>
      <w:r>
        <w:rPr>
          <w:rFonts w:ascii="Calibri" w:cs="Calibri" w:eastAsia="Calibri" w:hAnsi="Calibri"/>
          <w:b/>
          <w:bCs/>
          <w:color w:val="1F2937"/>
          <w:sz w:val="27"/>
          <w:szCs w:val="27"/>
        </w:rPr>
        <w:t xml:space="preserve">2.1 Zanim zaczniesz</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6438"/>
      </w:tblGrid>
      <w:tr>
        <w:trPr>
          <w:tblHeader/>
        </w:trPr>
        <w:tc>
          <w:tcPr>
            <w:tcW w:type="dxa" w:w="2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Wymaganie</w:t>
            </w:r>
          </w:p>
        </w:tc>
        <w:tc>
          <w:tcPr>
            <w:tcW w:type="dxa" w:w="64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Szczegóły</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System operacyjny</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Windows 10, Windows 11 lub Windows Server (64-bitowy)</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Uprawnienia</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Prawa administratora na komputerze, na którym instalujesz</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Miejsce na dysku</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Około 500 MB wolnego — TASc6 zawiera własną kopię Node.js, więc nic więcej nie trzeba wcześniej instalować</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Sieć</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Podczas instalacji nie jest potrzebne połączenie z internetem</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Port</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Port 3000 wolny na komputerze (można go później zmienić, jeśli koliduje z czymś innym)</w:t>
            </w:r>
          </w:p>
        </w:tc>
      </w:tr>
    </w:tbl>
    <w:p>
      <w:pPr>
        <w:pStyle w:val="Heading2"/>
        <w:spacing w:after="160" w:before="360"/>
      </w:pPr>
      <w:r>
        <w:rPr>
          <w:rFonts w:ascii="Calibri" w:cs="Calibri" w:eastAsia="Calibri" w:hAnsi="Calibri"/>
          <w:b/>
          <w:bCs/>
          <w:color w:val="1F2937"/>
          <w:sz w:val="27"/>
          <w:szCs w:val="27"/>
        </w:rPr>
        <w:t xml:space="preserve">2.2 Wybór instalatora</w:t>
      </w:r>
    </w:p>
    <w:p>
      <w:pPr>
        <w:spacing w:after="200" w:line="300"/>
      </w:pPr>
      <w:r>
        <w:rPr>
          <w:rFonts w:ascii="Calibri" w:cs="Calibri" w:eastAsia="Calibri" w:hAnsi="Calibri"/>
          <w:color w:val="1F2937"/>
          <w:sz w:val="22"/>
          <w:szCs w:val="22"/>
        </w:rPr>
        <w:t xml:space="preserve">Oba instalatory zawierają tę samą aplikację — wybierz ten, który odpowiada liczbie potrzebnych lokalizacji. Jeśli nie masz pewności, wybierz Multi Site: działa także, jeśli na początku planujesz używać tylko jednej lokalizacji.</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3400"/>
        <w:gridCol w:w="5638"/>
      </w:tblGrid>
      <w:tr>
        <w:trPr>
          <w:tblHeader/>
        </w:trPr>
        <w:tc>
          <w:tcPr>
            <w:tcW w:type="dxa" w:w="34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Instalator</w:t>
            </w:r>
          </w:p>
        </w:tc>
        <w:tc>
          <w:tcPr>
            <w:tcW w:type="dxa" w:w="56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Użyj go, jeśli…</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TASc6-Setup.exe (Multi Site)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Prowadzisz lub kiedykolwiek możesz prowadzić więcej niż jedną połączoną lokalizację. Na start zawiera 2 lokalizacje — trzecią dodasz w każdej chwili z poziomu Admin.</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TASc6-SingleSite-Setup.exe (Single Site)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Potrzebujesz zawsze tylko jednej lokalizacji. W pełni przygotowany ze stanowiskami, gotowy do pracy.</w:t>
            </w:r>
          </w:p>
        </w:tc>
      </w:tr>
    </w:tbl>
    <w:p>
      <w:pPr>
        <w:spacing w:after="200" w:line="300"/>
      </w:pPr>
      <w:r>
        <w:rPr>
          <w:rFonts w:ascii="Calibri" w:cs="Calibri" w:eastAsia="Calibri" w:hAnsi="Calibri"/>
          <w:color w:val="1F2937"/>
          <w:sz w:val="22"/>
          <w:szCs w:val="22"/>
        </w:rPr>
        <w:t xml:space="preserve">Oba zapewniają każdą rolę — Planner, Loader, Shunter, Dekit, Security, Dispatch, Fleet, VMU i Admin — w ramach tej samej licencji i wsparcia.</w:t>
      </w:r>
    </w:p>
    <w:p>
      <w:pPr>
        <w:pStyle w:val="Heading2"/>
        <w:spacing w:after="160" w:before="360"/>
      </w:pPr>
      <w:r>
        <w:rPr>
          <w:rFonts w:ascii="Calibri" w:cs="Calibri" w:eastAsia="Calibri" w:hAnsi="Calibri"/>
          <w:b/>
          <w:bCs/>
          <w:color w:val="1F2937"/>
          <w:sz w:val="27"/>
          <w:szCs w:val="27"/>
        </w:rPr>
        <w:t xml:space="preserve">2.3 Pobieranie TASc6</w:t>
      </w:r>
    </w:p>
    <w:p>
      <w:pPr>
        <w:spacing w:after="200" w:line="300"/>
      </w:pPr>
      <w:r>
        <w:rPr>
          <w:rFonts w:ascii="Calibri" w:cs="Calibri" w:eastAsia="Calibri" w:hAnsi="Calibri"/>
          <w:color w:val="1F2937"/>
          <w:sz w:val="22"/>
          <w:szCs w:val="22"/>
        </w:rPr>
        <w:t xml:space="preserve">Pobierz instalator ze strony tasc6.net/download.html. Zostaniesz poproszony o imię i nazwisko, e-mail, firmę i miejscowość, abyśmy wiedzieli, kto wypróbowuje TASc6, i mogli się odezwać w razie pytań — pobieranie rozpoczyna się natychmiast potem.</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Wersja próbna.  </w:t>
      </w:r>
      <w:r>
        <w:rPr>
          <w:rFonts w:ascii="Calibri" w:cs="Calibri" w:eastAsia="Calibri" w:hAnsi="Calibri"/>
          <w:color w:val="4B5563"/>
          <w:sz w:val="22"/>
          <w:szCs w:val="22"/>
        </w:rPr>
        <w:t xml:space="preserve"> TASc6 jest w pełni użyteczny od chwili instalacji — wszystkie funkcje działają przez 14 dni bez klucza licencyjnego. Kup i aktywuj klucz w dowolnym momencie, w trakcie lub po okresie próbnym, aby odblokować pełny rok.</w:t>
      </w:r>
    </w:p>
    <w:p>
      <w:pPr>
        <w:pStyle w:val="Heading2"/>
        <w:spacing w:after="160" w:before="360"/>
      </w:pPr>
      <w:r>
        <w:rPr>
          <w:rFonts w:ascii="Calibri" w:cs="Calibri" w:eastAsia="Calibri" w:hAnsi="Calibri"/>
          <w:b/>
          <w:bCs/>
          <w:color w:val="1F2937"/>
          <w:sz w:val="27"/>
          <w:szCs w:val="27"/>
        </w:rPr>
        <w:t xml:space="preserve">2.4 Uruchamianie instalatora</w:t>
      </w:r>
    </w:p>
    <w:p>
      <w:pPr>
        <w:spacing w:after="200" w:line="300"/>
      </w:pPr>
      <w:r>
        <w:rPr>
          <w:rFonts w:ascii="Calibri" w:cs="Calibri" w:eastAsia="Calibri" w:hAnsi="Calibri"/>
          <w:color w:val="1F2937"/>
          <w:sz w:val="22"/>
          <w:szCs w:val="22"/>
        </w:rPr>
        <w:t xml:space="preserve">Windows jest ostrożny wobec nowych, niepodpisanych instalatorów pobranych z internetu — TASc6 to produkt małej firmy i nie zdążył jeszcze zbudować historii pobrań, która powstrzymuje Windows przed oznaczaniem go. Nic z poniższych komunikatów nie oznacza, że z plikiem jest coś nie tak.</w:t>
      </w:r>
    </w:p>
    <w:p>
      <w:pPr>
        <w:pStyle w:val="Heading3"/>
        <w:spacing w:after="120" w:before="260"/>
      </w:pPr>
      <w:r>
        <w:rPr>
          <w:rFonts w:ascii="Calibri" w:cs="Calibri" w:eastAsia="Calibri" w:hAnsi="Calibri"/>
          <w:b/>
          <w:bCs/>
          <w:color w:val="1F2937"/>
          <w:sz w:val="24"/>
          <w:szCs w:val="24"/>
        </w:rPr>
        <w:t xml:space="preserve">Przeglądarka oznacza pobieranie</w:t>
      </w:r>
    </w:p>
    <w:p>
      <w:pPr>
        <w:spacing w:after="200" w:line="300"/>
      </w:pPr>
      <w:r>
        <w:rPr>
          <w:rFonts w:ascii="Calibri" w:cs="Calibri" w:eastAsia="Calibri" w:hAnsi="Calibri"/>
          <w:color w:val="1F2937"/>
          <w:sz w:val="22"/>
          <w:szCs w:val="22"/>
        </w:rPr>
        <w:t xml:space="preserve">Edge lub Chrome może pokazać, że plik „nie jest często pobierany” lub podobny komunikat. Wybierz </w:t>
      </w:r>
      <w:r>
        <w:rPr>
          <w:rFonts w:ascii="Calibri" w:cs="Calibri" w:eastAsia="Calibri" w:hAnsi="Calibri"/>
          <w:b/>
          <w:bCs/>
          <w:color w:val="1F2937"/>
          <w:sz w:val="22"/>
          <w:szCs w:val="22"/>
        </w:rPr>
        <w:t xml:space="preserve">Zachowaj</w:t>
      </w:r>
      <w:r>
        <w:rPr>
          <w:rFonts w:ascii="Calibri" w:cs="Calibri" w:eastAsia="Calibri" w:hAnsi="Calibri"/>
          <w:color w:val="1F2937"/>
          <w:sz w:val="22"/>
          <w:szCs w:val="22"/>
        </w:rPr>
        <w:t xml:space="preserve"> lub </w:t>
      </w:r>
      <w:r>
        <w:rPr>
          <w:rFonts w:ascii="Calibri" w:cs="Calibri" w:eastAsia="Calibri" w:hAnsi="Calibri"/>
          <w:b/>
          <w:bCs/>
          <w:color w:val="1F2937"/>
          <w:sz w:val="22"/>
          <w:szCs w:val="22"/>
        </w:rPr>
        <w:t xml:space="preserve">Zachowaj mimo to</w:t>
      </w:r>
      <w:r>
        <w:rPr>
          <w:rFonts w:ascii="Calibri" w:cs="Calibri" w:eastAsia="Calibri" w:hAnsi="Calibri"/>
          <w:color w:val="1F2937"/>
          <w:sz w:val="22"/>
          <w:szCs w:val="22"/>
        </w:rPr>
        <w:t xml:space="preserve"> (sformułowanie zależy od przeglądarki), aby dokończyć pobieranie.</w:t>
      </w:r>
    </w:p>
    <w:p>
      <w:pPr>
        <w:pStyle w:val="Heading3"/>
        <w:spacing w:after="120" w:before="260"/>
      </w:pPr>
      <w:r>
        <w:rPr>
          <w:rFonts w:ascii="Calibri" w:cs="Calibri" w:eastAsia="Calibri" w:hAnsi="Calibri"/>
          <w:b/>
          <w:bCs/>
          <w:color w:val="1F2937"/>
          <w:sz w:val="24"/>
          <w:szCs w:val="24"/>
        </w:rPr>
        <w:t xml:space="preserve">Windows SmartScreen: „System Windows ochronił ten komputer”</w:t>
      </w:r>
    </w:p>
    <w:p>
      <w:pPr>
        <w:spacing w:after="200" w:line="300"/>
      </w:pPr>
      <w:r>
        <w:rPr>
          <w:rFonts w:ascii="Calibri" w:cs="Calibri" w:eastAsia="Calibri" w:hAnsi="Calibri"/>
          <w:color w:val="1F2937"/>
          <w:sz w:val="22"/>
          <w:szCs w:val="22"/>
        </w:rPr>
        <w:t xml:space="preserve">Po dwukrotnym kliknięciu pobranego instalatora bardzo prawdopodobnie zobaczysz niebieski ekran z nagłówkiem „System Windows ochronił ten komputer”, wskazujący „nierozpoznaną aplikację”. To Windows SmartScreen — pojawia się przy każdej nowej aplikacji, która nie ma jeszcze ugruntowanej reputacji u Microsoftu — to nie jest ostrzeżenie o wirusie.</w:t>
      </w:r>
    </w:p>
    <w:p>
      <w:pPr>
        <w:pStyle w:val="ListParagraph"/>
        <w:numPr>
          <w:ilvl w:val="0"/>
          <w:numId w:val="2"/>
        </w:numPr>
        <w:spacing w:after="180" w:line="290"/>
      </w:pPr>
      <w:r>
        <w:rPr>
          <w:rFonts w:ascii="Calibri" w:cs="Calibri" w:eastAsia="Calibri" w:hAnsi="Calibri"/>
          <w:b/>
          <w:bCs/>
          <w:color w:val="1F2937"/>
          <w:sz w:val="22"/>
          <w:szCs w:val="22"/>
        </w:rPr>
        <w:t xml:space="preserve">Więcej informacji</w:t>
      </w:r>
      <w:r>
        <w:rPr>
          <w:rFonts w:ascii="Calibri" w:cs="Calibri" w:eastAsia="Calibri" w:hAnsi="Calibri"/>
          <w:color w:val="1F2937"/>
          <w:sz w:val="22"/>
          <w:szCs w:val="22"/>
        </w:rPr>
        <w:t xml:space="preserve"> — najpierw kliknij ten link w niebieskim polu. Nie klikaj jeszcze </w:t>
      </w:r>
      <w:r>
        <w:rPr>
          <w:rFonts w:ascii="Calibri" w:cs="Calibri" w:eastAsia="Calibri" w:hAnsi="Calibri"/>
          <w:b/>
          <w:bCs/>
          <w:color w:val="1F2937"/>
          <w:sz w:val="22"/>
          <w:szCs w:val="22"/>
        </w:rPr>
        <w:t xml:space="preserve">Nie uruchamiaj</w:t>
      </w:r>
      <w:r>
        <w:rPr>
          <w:rFonts w:ascii="Calibri" w:cs="Calibri" w:eastAsia="Calibri" w:hAnsi="Calibri"/>
          <w:color w:val="1F2937"/>
          <w:sz w:val="22"/>
          <w:szCs w:val="22"/>
        </w:rPr>
        <w:t xml:space="preserve">.</w:t>
      </w:r>
    </w:p>
    <w:p>
      <w:pPr>
        <w:pStyle w:val="ListParagraph"/>
        <w:numPr>
          <w:ilvl w:val="0"/>
          <w:numId w:val="2"/>
        </w:numPr>
        <w:spacing w:after="180" w:line="290"/>
      </w:pPr>
      <w:r>
        <w:rPr>
          <w:rFonts w:ascii="Calibri" w:cs="Calibri" w:eastAsia="Calibri" w:hAnsi="Calibri"/>
          <w:color w:val="1F2937"/>
          <w:sz w:val="22"/>
          <w:szCs w:val="22"/>
        </w:rPr>
        <w:t xml:space="preserve">Pole się rozwija, pokazując nazwę aplikacji i wydawcę, i pojawia się nowy przycisk: </w:t>
      </w:r>
      <w:r>
        <w:rPr>
          <w:rFonts w:ascii="Calibri" w:cs="Calibri" w:eastAsia="Calibri" w:hAnsi="Calibri"/>
          <w:b/>
          <w:bCs/>
          <w:color w:val="1F2937"/>
          <w:sz w:val="22"/>
          <w:szCs w:val="22"/>
        </w:rPr>
        <w:t xml:space="preserve">Uruchom mimo to</w:t>
      </w:r>
      <w:r>
        <w:rPr>
          <w:rFonts w:ascii="Calibri" w:cs="Calibri" w:eastAsia="Calibri" w:hAnsi="Calibri"/>
          <w:color w:val="1F2937"/>
          <w:sz w:val="22"/>
          <w:szCs w:val="22"/>
        </w:rPr>
        <w:t xml:space="preserve">.</w:t>
      </w:r>
    </w:p>
    <w:p>
      <w:pPr>
        <w:pStyle w:val="ListParagraph"/>
        <w:numPr>
          <w:ilvl w:val="0"/>
          <w:numId w:val="2"/>
        </w:numPr>
        <w:spacing w:after="180" w:line="290"/>
      </w:pPr>
      <w:r>
        <w:rPr>
          <w:rFonts w:ascii="Calibri" w:cs="Calibri" w:eastAsia="Calibri" w:hAnsi="Calibri"/>
          <w:b/>
          <w:bCs/>
          <w:color w:val="1F2937"/>
          <w:sz w:val="22"/>
          <w:szCs w:val="22"/>
        </w:rPr>
        <w:t xml:space="preserve">Uruchom mimo to</w:t>
      </w:r>
      <w:r>
        <w:rPr>
          <w:rFonts w:ascii="Calibri" w:cs="Calibri" w:eastAsia="Calibri" w:hAnsi="Calibri"/>
          <w:color w:val="1F2937"/>
          <w:sz w:val="22"/>
          <w:szCs w:val="22"/>
        </w:rPr>
        <w:t xml:space="preserve"> — kliknij, aby kontynuować. Kreator instalacji otworzy się jak zwykle.</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Jeśli nie widzisz „Więcej informacji”,  </w:t>
      </w:r>
      <w:r>
        <w:rPr>
          <w:rFonts w:ascii="Calibri" w:cs="Calibri" w:eastAsia="Calibri" w:hAnsi="Calibri"/>
          <w:color w:val="4B5563"/>
          <w:sz w:val="22"/>
          <w:szCs w:val="22"/>
        </w:rPr>
        <w:t xml:space="preserve"> polityka IT Twojej organizacji mogła zablokować to centralnie. Poproś dział IT o zatwierdzenie instalatora lub dodanie go do listy dozwolonych w Zasadach grupy albo w konsoli ochrony stacji roboczych.</w:t>
      </w:r>
    </w:p>
    <w:p>
      <w:pPr>
        <w:pStyle w:val="Heading3"/>
        <w:spacing w:after="120" w:before="260"/>
      </w:pPr>
      <w:r>
        <w:rPr>
          <w:rFonts w:ascii="Calibri" w:cs="Calibri" w:eastAsia="Calibri" w:hAnsi="Calibri"/>
          <w:b/>
          <w:bCs/>
          <w:color w:val="1F2937"/>
          <w:sz w:val="24"/>
          <w:szCs w:val="24"/>
        </w:rPr>
        <w:t xml:space="preserve">Jeśli Microsoft Defender blokuje plik lub całkowicie go usuwa</w:t>
      </w:r>
    </w:p>
    <w:p>
      <w:pPr>
        <w:spacing w:after="200" w:line="300"/>
      </w:pPr>
      <w:r>
        <w:rPr>
          <w:rFonts w:ascii="Calibri" w:cs="Calibri" w:eastAsia="Calibri" w:hAnsi="Calibri"/>
          <w:color w:val="1F2937"/>
          <w:sz w:val="22"/>
          <w:szCs w:val="22"/>
        </w:rPr>
        <w:t xml:space="preserve">Zdarza się to rzadziej niż powyższy komunikat SmartScreen, ale może się przydarzyć — zwłaszcza na komputerze z bardziej rygorystycznymi, zarządzanymi przez IT ustawieniami antywirusa — ponieważ instalator zawiera pełne środowisko Node.js, które niektóre heurystyki antywirusowe traktują ze szczególną podejrzliwością wyłącznie ze względu na to, do czego jest zdolne, a nie na to, co faktycznie robi.</w:t>
      </w:r>
    </w:p>
    <w:p>
      <w:pPr>
        <w:pStyle w:val="ListParagraph"/>
        <w:numPr>
          <w:ilvl w:val="0"/>
          <w:numId w:val="3"/>
        </w:numPr>
        <w:spacing w:after="180" w:line="290"/>
      </w:pPr>
      <w:r>
        <w:rPr>
          <w:rFonts w:ascii="Calibri" w:cs="Calibri" w:eastAsia="Calibri" w:hAnsi="Calibri"/>
          <w:color w:val="1F2937"/>
          <w:sz w:val="22"/>
          <w:szCs w:val="22"/>
        </w:rPr>
        <w:t xml:space="preserve">Otwórz </w:t>
      </w:r>
      <w:r>
        <w:rPr>
          <w:rFonts w:ascii="Calibri" w:cs="Calibri" w:eastAsia="Calibri" w:hAnsi="Calibri"/>
          <w:b/>
          <w:bCs/>
          <w:color w:val="1F2937"/>
          <w:sz w:val="22"/>
          <w:szCs w:val="22"/>
        </w:rPr>
        <w:t xml:space="preserve">Zabezpieczenia systemu Windows</w:t>
      </w:r>
      <w:r>
        <w:rPr>
          <w:rFonts w:ascii="Calibri" w:cs="Calibri" w:eastAsia="Calibri" w:hAnsi="Calibri"/>
          <w:color w:val="1F2937"/>
          <w:sz w:val="22"/>
          <w:szCs w:val="22"/>
        </w:rPr>
        <w:t xml:space="preserve"> (wyszukaj je w menu Start).</w:t>
      </w:r>
    </w:p>
    <w:p>
      <w:pPr>
        <w:pStyle w:val="ListParagraph"/>
        <w:numPr>
          <w:ilvl w:val="0"/>
          <w:numId w:val="3"/>
        </w:numPr>
        <w:spacing w:after="180" w:line="290"/>
      </w:pPr>
      <w:r>
        <w:rPr>
          <w:rFonts w:ascii="Calibri" w:cs="Calibri" w:eastAsia="Calibri" w:hAnsi="Calibri"/>
          <w:color w:val="1F2937"/>
          <w:sz w:val="22"/>
          <w:szCs w:val="22"/>
        </w:rPr>
        <w:t xml:space="preserve">Przejdź do </w:t>
      </w:r>
      <w:r>
        <w:rPr>
          <w:rFonts w:ascii="Calibri" w:cs="Calibri" w:eastAsia="Calibri" w:hAnsi="Calibri"/>
          <w:b/>
          <w:bCs/>
          <w:color w:val="1F2937"/>
          <w:sz w:val="22"/>
          <w:szCs w:val="22"/>
        </w:rPr>
        <w:t xml:space="preserve">Ochrona przed wirusami i zagrożeniami</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Historia ochrony</w:t>
      </w:r>
      <w:r>
        <w:rPr>
          <w:rFonts w:ascii="Calibri" w:cs="Calibri" w:eastAsia="Calibri" w:hAnsi="Calibri"/>
          <w:color w:val="1F2937"/>
          <w:sz w:val="22"/>
          <w:szCs w:val="22"/>
        </w:rPr>
        <w:t xml:space="preserve">.</w:t>
      </w:r>
    </w:p>
    <w:p>
      <w:pPr>
        <w:pStyle w:val="ListParagraph"/>
        <w:numPr>
          <w:ilvl w:val="0"/>
          <w:numId w:val="3"/>
        </w:numPr>
        <w:spacing w:after="180" w:line="290"/>
      </w:pPr>
      <w:r>
        <w:rPr>
          <w:rFonts w:ascii="Calibri" w:cs="Calibri" w:eastAsia="Calibri" w:hAnsi="Calibri"/>
          <w:color w:val="1F2937"/>
          <w:sz w:val="22"/>
          <w:szCs w:val="22"/>
        </w:rPr>
        <w:t xml:space="preserve">Znajdź instalator TASc6 na liście i, jeśli został poddany kwarantannie lub usunięty, wybierz </w:t>
      </w:r>
      <w:r>
        <w:rPr>
          <w:rFonts w:ascii="Calibri" w:cs="Calibri" w:eastAsia="Calibri" w:hAnsi="Calibri"/>
          <w:b/>
          <w:bCs/>
          <w:color w:val="1F2937"/>
          <w:sz w:val="22"/>
          <w:szCs w:val="22"/>
        </w:rPr>
        <w:t xml:space="preserve">Przywróć</w:t>
      </w:r>
      <w:r>
        <w:rPr>
          <w:rFonts w:ascii="Calibri" w:cs="Calibri" w:eastAsia="Calibri" w:hAnsi="Calibri"/>
          <w:color w:val="1F2937"/>
          <w:sz w:val="22"/>
          <w:szCs w:val="22"/>
        </w:rPr>
        <w:t xml:space="preserve">.</w:t>
      </w:r>
    </w:p>
    <w:p>
      <w:pPr>
        <w:pStyle w:val="ListParagraph"/>
        <w:numPr>
          <w:ilvl w:val="0"/>
          <w:numId w:val="3"/>
        </w:numPr>
        <w:spacing w:after="180" w:line="290"/>
      </w:pPr>
      <w:r>
        <w:rPr>
          <w:rFonts w:ascii="Calibri" w:cs="Calibri" w:eastAsia="Calibri" w:hAnsi="Calibri"/>
          <w:color w:val="1F2937"/>
          <w:sz w:val="22"/>
          <w:szCs w:val="22"/>
        </w:rPr>
        <w:t xml:space="preserve">Jeśli przy następnym uruchomieniu zostanie zablokowany ponownie, dodaj wykluczenie: </w:t>
      </w:r>
      <w:r>
        <w:rPr>
          <w:rFonts w:ascii="Calibri" w:cs="Calibri" w:eastAsia="Calibri" w:hAnsi="Calibri"/>
          <w:b/>
          <w:bCs/>
          <w:color w:val="1F2937"/>
          <w:sz w:val="22"/>
          <w:szCs w:val="22"/>
        </w:rPr>
        <w:t xml:space="preserve">Ustawienia ochrony przed wirusami i zagrożeniami</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Zarządzaj ustawieniami</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Dodaj lub usuń wykluczenia</w:t>
      </w:r>
      <w:r>
        <w:rPr>
          <w:rFonts w:ascii="Calibri" w:cs="Calibri" w:eastAsia="Calibri" w:hAnsi="Calibri"/>
          <w:color w:val="1F2937"/>
          <w:sz w:val="22"/>
          <w:szCs w:val="22"/>
        </w:rPr>
        <w:t xml:space="preserve"> → dodaj folder, do którego instalujesz TASc6 (np. C:\TASc6).</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Na komputerze zarządzanym przez firmę  </w:t>
      </w:r>
      <w:r>
        <w:rPr>
          <w:rFonts w:ascii="Calibri" w:cs="Calibri" w:eastAsia="Calibri" w:hAnsi="Calibri"/>
          <w:color w:val="4B5563"/>
          <w:sz w:val="22"/>
          <w:szCs w:val="22"/>
        </w:rPr>
        <w:t xml:space="preserve"> te ustawienia mogą być kontrolowane centralnie i wyszarzone — dział IT będzie musiał wprowadzić tę zmianę lub zatwierdzić instalator za Ciebie.</w:t>
      </w:r>
    </w:p>
    <w:p>
      <w:pPr>
        <w:pStyle w:val="Heading2"/>
        <w:spacing w:after="160" w:before="360"/>
      </w:pPr>
      <w:r>
        <w:rPr>
          <w:rFonts w:ascii="Calibri" w:cs="Calibri" w:eastAsia="Calibri" w:hAnsi="Calibri"/>
          <w:b/>
          <w:bCs/>
          <w:color w:val="1F2937"/>
          <w:sz w:val="27"/>
          <w:szCs w:val="27"/>
        </w:rPr>
        <w:t xml:space="preserve">2.5 Zezwolenie TASc6 w zaporze systemu Windows</w:t>
      </w:r>
    </w:p>
    <w:p>
      <w:pPr>
        <w:spacing w:after="200" w:line="300"/>
      </w:pPr>
      <w:r>
        <w:rPr>
          <w:rFonts w:ascii="Calibri" w:cs="Calibri" w:eastAsia="Calibri" w:hAnsi="Calibri"/>
          <w:color w:val="1F2937"/>
          <w:sz w:val="22"/>
          <w:szCs w:val="22"/>
        </w:rPr>
        <w:t xml:space="preserve">Ten krok jest ważniejszy niż dwa poprzednie: każdy inny komputer i tablet w Twojej lokalizacji łączy się z TASc6 przez sieć, więc jeśli zapora Windows go zablokuje, TASc6 będzie działać bez zarzutu na samym komputerze-hoście, podczas gdy nikt inny w lokalizacji w ogóle się nie połączy — to mylący objaw, jeśli nie wiadomo, gdzie szukać.</w:t>
      </w:r>
    </w:p>
    <w:p>
      <w:pPr>
        <w:spacing w:after="200" w:line="300"/>
      </w:pPr>
      <w:r>
        <w:rPr>
          <w:rFonts w:ascii="Calibri" w:cs="Calibri" w:eastAsia="Calibri" w:hAnsi="Calibri"/>
          <w:color w:val="1F2937"/>
          <w:sz w:val="22"/>
          <w:szCs w:val="22"/>
        </w:rPr>
        <w:t xml:space="preserve">Przy pierwszym uruchomieniu TASc6 Windows zwykle wyświetla okno zatytułowane „Zapora Windows Defender zablokowała niektóre funkcje tej aplikacji”, wskazujące Node.js.</w:t>
      </w:r>
    </w:p>
    <w:p>
      <w:pPr>
        <w:pStyle w:val="ListParagraph"/>
        <w:numPr>
          <w:ilvl w:val="0"/>
          <w:numId w:val="4"/>
        </w:numPr>
        <w:spacing w:after="180" w:line="290"/>
      </w:pPr>
      <w:r>
        <w:rPr>
          <w:rFonts w:ascii="Calibri" w:cs="Calibri" w:eastAsia="Calibri" w:hAnsi="Calibri"/>
          <w:color w:val="1F2937"/>
          <w:sz w:val="22"/>
          <w:szCs w:val="22"/>
        </w:rPr>
        <w:t xml:space="preserve">Zaznacz </w:t>
      </w:r>
      <w:r>
        <w:rPr>
          <w:rFonts w:ascii="Calibri" w:cs="Calibri" w:eastAsia="Calibri" w:hAnsi="Calibri"/>
          <w:b/>
          <w:bCs/>
          <w:color w:val="1F2937"/>
          <w:sz w:val="22"/>
          <w:szCs w:val="22"/>
        </w:rPr>
        <w:t xml:space="preserve">Sieci prywatne</w:t>
      </w:r>
      <w:r>
        <w:rPr>
          <w:rFonts w:ascii="Calibri" w:cs="Calibri" w:eastAsia="Calibri" w:hAnsi="Calibri"/>
          <w:color w:val="1F2937"/>
          <w:sz w:val="22"/>
          <w:szCs w:val="22"/>
        </w:rPr>
        <w:t xml:space="preserve"> (a także </w:t>
      </w:r>
      <w:r>
        <w:rPr>
          <w:rFonts w:ascii="Calibri" w:cs="Calibri" w:eastAsia="Calibri" w:hAnsi="Calibri"/>
          <w:b/>
          <w:bCs/>
          <w:color w:val="1F2937"/>
          <w:sz w:val="22"/>
          <w:szCs w:val="22"/>
        </w:rPr>
        <w:t xml:space="preserve">Sieci publiczne</w:t>
      </w:r>
      <w:r>
        <w:rPr>
          <w:rFonts w:ascii="Calibri" w:cs="Calibri" w:eastAsia="Calibri" w:hAnsi="Calibri"/>
          <w:color w:val="1F2937"/>
          <w:sz w:val="22"/>
          <w:szCs w:val="22"/>
        </w:rPr>
        <w:t xml:space="preserve">, jeśli sieć Twojej lokalizacji ma w Windows profil Publiczny).</w:t>
      </w:r>
    </w:p>
    <w:p>
      <w:pPr>
        <w:pStyle w:val="ListParagraph"/>
        <w:numPr>
          <w:ilvl w:val="0"/>
          <w:numId w:val="4"/>
        </w:numPr>
        <w:spacing w:after="180" w:line="290"/>
      </w:pPr>
      <w:r>
        <w:rPr>
          <w:rFonts w:ascii="Calibri" w:cs="Calibri" w:eastAsia="Calibri" w:hAnsi="Calibri"/>
          <w:color w:val="1F2937"/>
          <w:sz w:val="22"/>
          <w:szCs w:val="22"/>
        </w:rPr>
        <w:t xml:space="preserve">Kliknij </w:t>
      </w:r>
      <w:r>
        <w:rPr>
          <w:rFonts w:ascii="Calibri" w:cs="Calibri" w:eastAsia="Calibri" w:hAnsi="Calibri"/>
          <w:b/>
          <w:bCs/>
          <w:color w:val="1F2937"/>
          <w:sz w:val="22"/>
          <w:szCs w:val="22"/>
        </w:rPr>
        <w:t xml:space="preserve">Zezwalaj na dostęp</w:t>
      </w:r>
      <w:r>
        <w:rPr>
          <w:rFonts w:ascii="Calibri" w:cs="Calibri" w:eastAsia="Calibri" w:hAnsi="Calibri"/>
          <w:color w:val="1F2937"/>
          <w:sz w:val="22"/>
          <w:szCs w:val="22"/>
        </w:rPr>
        <w:t xml:space="preserve">.</w:t>
      </w:r>
    </w:p>
    <w:p>
      <w:pPr>
        <w:spacing w:after="200" w:line="300"/>
      </w:pPr>
      <w:r>
        <w:rPr>
          <w:rFonts w:ascii="Calibri" w:cs="Calibri" w:eastAsia="Calibri" w:hAnsi="Calibri"/>
          <w:color w:val="1F2937"/>
          <w:sz w:val="22"/>
          <w:szCs w:val="22"/>
        </w:rPr>
        <w:t xml:space="preserve">Jeśli to okno zostało pominięte, zamknięte lub omyłkowo potwierdzone jako „Anuluj”, popraw to później:</w:t>
      </w:r>
    </w:p>
    <w:p>
      <w:pPr>
        <w:pStyle w:val="ListParagraph"/>
        <w:numPr>
          <w:ilvl w:val="0"/>
          <w:numId w:val="5"/>
        </w:numPr>
        <w:spacing w:after="180" w:line="290"/>
      </w:pPr>
      <w:r>
        <w:rPr>
          <w:rFonts w:ascii="Calibri" w:cs="Calibri" w:eastAsia="Calibri" w:hAnsi="Calibri"/>
          <w:color w:val="1F2937"/>
          <w:sz w:val="22"/>
          <w:szCs w:val="22"/>
        </w:rPr>
        <w:t xml:space="preserve">Otwórz </w:t>
      </w:r>
      <w:r>
        <w:rPr>
          <w:rFonts w:ascii="Calibri" w:cs="Calibri" w:eastAsia="Calibri" w:hAnsi="Calibri"/>
          <w:b/>
          <w:bCs/>
          <w:color w:val="1F2937"/>
          <w:sz w:val="22"/>
          <w:szCs w:val="22"/>
        </w:rPr>
        <w:t xml:space="preserve">Zabezpieczenia systemu Windows</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Zapora i ochrona sieci</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Zezwalaj aplikacji na dostęp przez zaporę</w:t>
      </w:r>
      <w:r>
        <w:rPr>
          <w:rFonts w:ascii="Calibri" w:cs="Calibri" w:eastAsia="Calibri" w:hAnsi="Calibri"/>
          <w:color w:val="1F2937"/>
          <w:sz w:val="22"/>
          <w:szCs w:val="22"/>
        </w:rPr>
        <w:t xml:space="preserve">.</w:t>
      </w:r>
    </w:p>
    <w:p>
      <w:pPr>
        <w:pStyle w:val="ListParagraph"/>
        <w:numPr>
          <w:ilvl w:val="0"/>
          <w:numId w:val="5"/>
        </w:numPr>
        <w:spacing w:after="180" w:line="290"/>
      </w:pPr>
      <w:r>
        <w:rPr>
          <w:rFonts w:ascii="Calibri" w:cs="Calibri" w:eastAsia="Calibri" w:hAnsi="Calibri"/>
          <w:color w:val="1F2937"/>
          <w:sz w:val="22"/>
          <w:szCs w:val="22"/>
        </w:rPr>
        <w:t xml:space="preserve">Kliknij </w:t>
      </w:r>
      <w:r>
        <w:rPr>
          <w:rFonts w:ascii="Calibri" w:cs="Calibri" w:eastAsia="Calibri" w:hAnsi="Calibri"/>
          <w:b/>
          <w:bCs/>
          <w:color w:val="1F2937"/>
          <w:sz w:val="22"/>
          <w:szCs w:val="22"/>
        </w:rPr>
        <w:t xml:space="preserve">Zmień ustawienia</w:t>
      </w:r>
      <w:r>
        <w:rPr>
          <w:rFonts w:ascii="Calibri" w:cs="Calibri" w:eastAsia="Calibri" w:hAnsi="Calibri"/>
          <w:color w:val="1F2937"/>
          <w:sz w:val="22"/>
          <w:szCs w:val="22"/>
        </w:rPr>
        <w:t xml:space="preserve"> (wymaga praw administratora), znajdź </w:t>
      </w:r>
      <w:r>
        <w:rPr>
          <w:rFonts w:ascii="Calibri" w:cs="Calibri" w:eastAsia="Calibri" w:hAnsi="Calibri"/>
          <w:b/>
          <w:bCs/>
          <w:color w:val="1F2937"/>
          <w:sz w:val="22"/>
          <w:szCs w:val="22"/>
        </w:rPr>
        <w:t xml:space="preserve">Node.js</w:t>
      </w:r>
      <w:r>
        <w:rPr>
          <w:rFonts w:ascii="Calibri" w:cs="Calibri" w:eastAsia="Calibri" w:hAnsi="Calibri"/>
          <w:color w:val="1F2937"/>
          <w:sz w:val="22"/>
          <w:szCs w:val="22"/>
        </w:rPr>
        <w:t xml:space="preserve"> na liście — lub kliknij </w:t>
      </w:r>
      <w:r>
        <w:rPr>
          <w:rFonts w:ascii="Calibri" w:cs="Calibri" w:eastAsia="Calibri" w:hAnsi="Calibri"/>
          <w:b/>
          <w:bCs/>
          <w:color w:val="1F2937"/>
          <w:sz w:val="22"/>
          <w:szCs w:val="22"/>
        </w:rPr>
        <w:t xml:space="preserve">Zezwól na inną aplikację…</w:t>
      </w:r>
      <w:r>
        <w:rPr>
          <w:rFonts w:ascii="Calibri" w:cs="Calibri" w:eastAsia="Calibri" w:hAnsi="Calibri"/>
          <w:color w:val="1F2937"/>
          <w:sz w:val="22"/>
          <w:szCs w:val="22"/>
        </w:rPr>
        <w:t xml:space="preserve"> i wskaż node\node.exe w folderze instalacji TASc6, jeśli nie ma go na liście.</w:t>
      </w:r>
    </w:p>
    <w:p>
      <w:pPr>
        <w:pStyle w:val="ListParagraph"/>
        <w:numPr>
          <w:ilvl w:val="0"/>
          <w:numId w:val="5"/>
        </w:numPr>
        <w:spacing w:after="180" w:line="290"/>
      </w:pPr>
      <w:r>
        <w:rPr>
          <w:rFonts w:ascii="Calibri" w:cs="Calibri" w:eastAsia="Calibri" w:hAnsi="Calibri"/>
          <w:color w:val="1F2937"/>
          <w:sz w:val="22"/>
          <w:szCs w:val="22"/>
        </w:rPr>
        <w:t xml:space="preserve">Zaznacz zarówno </w:t>
      </w:r>
      <w:r>
        <w:rPr>
          <w:rFonts w:ascii="Calibri" w:cs="Calibri" w:eastAsia="Calibri" w:hAnsi="Calibri"/>
          <w:b/>
          <w:bCs/>
          <w:color w:val="1F2937"/>
          <w:sz w:val="22"/>
          <w:szCs w:val="22"/>
        </w:rPr>
        <w:t xml:space="preserve">Prywatna</w:t>
      </w:r>
      <w:r>
        <w:rPr>
          <w:rFonts w:ascii="Calibri" w:cs="Calibri" w:eastAsia="Calibri" w:hAnsi="Calibri"/>
          <w:color w:val="1F2937"/>
          <w:sz w:val="22"/>
          <w:szCs w:val="22"/>
        </w:rPr>
        <w:t xml:space="preserve">, jak i </w:t>
      </w:r>
      <w:r>
        <w:rPr>
          <w:rFonts w:ascii="Calibri" w:cs="Calibri" w:eastAsia="Calibri" w:hAnsi="Calibri"/>
          <w:b/>
          <w:bCs/>
          <w:color w:val="1F2937"/>
          <w:sz w:val="22"/>
          <w:szCs w:val="22"/>
        </w:rPr>
        <w:t xml:space="preserve">Publiczna</w:t>
      </w:r>
      <w:r>
        <w:rPr>
          <w:rFonts w:ascii="Calibri" w:cs="Calibri" w:eastAsia="Calibri" w:hAnsi="Calibri"/>
          <w:color w:val="1F2937"/>
          <w:sz w:val="22"/>
          <w:szCs w:val="22"/>
        </w:rPr>
        <w:t xml:space="preserve">, a następnie kliknij </w:t>
      </w:r>
      <w:r>
        <w:rPr>
          <w:rFonts w:ascii="Calibri" w:cs="Calibri" w:eastAsia="Calibri" w:hAnsi="Calibri"/>
          <w:b/>
          <w:bCs/>
          <w:color w:val="1F2937"/>
          <w:sz w:val="22"/>
          <w:szCs w:val="22"/>
        </w:rPr>
        <w:t xml:space="preserve">OK</w:t>
      </w:r>
      <w:r>
        <w:rPr>
          <w:rFonts w:ascii="Calibri" w:cs="Calibri" w:eastAsia="Calibri" w:hAnsi="Calibri"/>
          <w:color w:val="1F2937"/>
          <w:sz w:val="22"/>
          <w:szCs w:val="22"/>
        </w:rPr>
        <w:t xml:space="preserve">.</w:t>
      </w:r>
    </w:p>
    <w:p>
      <w:pPr>
        <w:pStyle w:val="Heading2"/>
        <w:spacing w:after="160" w:before="360"/>
      </w:pPr>
      <w:r>
        <w:rPr>
          <w:rFonts w:ascii="Calibri" w:cs="Calibri" w:eastAsia="Calibri" w:hAnsi="Calibri"/>
          <w:b/>
          <w:bCs/>
          <w:color w:val="1F2937"/>
          <w:sz w:val="27"/>
          <w:szCs w:val="27"/>
        </w:rPr>
        <w:t xml:space="preserve">2.6 Pierwsze uruchomienie</w:t>
      </w:r>
    </w:p>
    <w:p>
      <w:pPr>
        <w:spacing w:after="200" w:line="300"/>
      </w:pPr>
      <w:r>
        <w:rPr>
          <w:rFonts w:ascii="Calibri" w:cs="Calibri" w:eastAsia="Calibri" w:hAnsi="Calibri"/>
          <w:color w:val="1F2937"/>
          <w:sz w:val="22"/>
          <w:szCs w:val="22"/>
        </w:rPr>
        <w:t xml:space="preserve">Po instalacji TASc6 działa cicho w tle i wyświetla małą ikonę w obszarze powiadomień systemu Windows (przy zegarze). Kliknij ją prawym przyciskiem, aby wybrać Start, Stop oraz link otwierający TASc6 w przeglądarce.</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Zostaw go uruchomionego.  </w:t>
      </w:r>
      <w:r>
        <w:rPr>
          <w:rFonts w:ascii="Calibri" w:cs="Calibri" w:eastAsia="Calibri" w:hAnsi="Calibri"/>
          <w:color w:val="4B5563"/>
          <w:sz w:val="22"/>
          <w:szCs w:val="22"/>
        </w:rPr>
        <w:t xml:space="preserve"> Komputer-host musi pozostać włączony, aby wszyscy inni w lokalizacji mogli dotrzeć do TASc6 — w rozdziale 3 opisano, jak wpisuje się to w sieć Twojej lokalizacji.</w:t>
      </w:r>
    </w:p>
    <w:p>
      <w:pPr>
        <w:spacing w:after="200" w:line="300"/>
      </w:pPr>
      <w:r>
        <w:rPr>
          <w:rFonts w:ascii="Calibri" w:cs="Calibri" w:eastAsia="Calibri" w:hAnsi="Calibri"/>
          <w:color w:val="1F2937"/>
          <w:sz w:val="22"/>
          <w:szCs w:val="22"/>
        </w:rPr>
        <w:t xml:space="preserve">Otwórz przeglądarkę na komputerze-hoście i przejdź pod adres http://localhost:3000, aby zalogować się po raz pierwszy.</w:t>
      </w:r>
    </w:p>
    <w:p>
      <w:pPr>
        <w:pStyle w:val="Heading2"/>
        <w:spacing w:after="160" w:before="360"/>
      </w:pPr>
      <w:r>
        <w:rPr>
          <w:rFonts w:ascii="Calibri" w:cs="Calibri" w:eastAsia="Calibri" w:hAnsi="Calibri"/>
          <w:b/>
          <w:bCs/>
          <w:color w:val="1F2937"/>
          <w:sz w:val="27"/>
          <w:szCs w:val="27"/>
        </w:rPr>
        <w:t xml:space="preserve">2.7 Aktywacja licencji</w:t>
      </w:r>
    </w:p>
    <w:p>
      <w:pPr>
        <w:spacing w:after="200" w:line="300"/>
      </w:pPr>
      <w:r>
        <w:rPr>
          <w:rFonts w:ascii="Calibri" w:cs="Calibri" w:eastAsia="Calibri" w:hAnsi="Calibri"/>
          <w:color w:val="1F2937"/>
          <w:sz w:val="22"/>
          <w:szCs w:val="22"/>
        </w:rPr>
        <w:t xml:space="preserve">TASc6 działa jako pełna 14-dniowa wersja próbna, bez niczego do odblokowania. Gdy będziesz gotowy do zakupu, odwiedź stronę licencji z identyfikatorem instalacji widocznym pod adresem http://localhost:3000/activate na komputerze-hoście. Wklej otrzymany klucz na tej samej stronie, aby aktywować — odblokuje to TASc6 na pełny rok.</w:t>
      </w:r>
    </w:p>
    <w:p>
      <w:pPr>
        <w:spacing w:after="200" w:line="300"/>
      </w:pPr>
      <w:r>
        <w:rPr>
          <w:rFonts w:ascii="Calibri" w:cs="Calibri" w:eastAsia="Calibri" w:hAnsi="Calibri"/>
          <w:color w:val="1F2937"/>
          <w:sz w:val="22"/>
          <w:szCs w:val="22"/>
        </w:rPr>
        <w:t xml:space="preserve">Potrzebujesz pomocy przy instalacji? Napisz na </w:t>
      </w:r>
      <w:r>
        <w:rPr>
          <w:rFonts w:ascii="Calibri" w:cs="Calibri" w:eastAsia="Calibri" w:hAnsi="Calibri"/>
          <w:b/>
          <w:bCs/>
          <w:color w:val="1F2937"/>
          <w:sz w:val="22"/>
          <w:szCs w:val="22"/>
        </w:rPr>
        <w:t xml:space="preserve">licensing@tasc6.net</w:t>
      </w:r>
      <w:r>
        <w:rPr>
          <w:rFonts w:ascii="Calibri" w:cs="Calibri" w:eastAsia="Calibri" w:hAnsi="Calibri"/>
          <w:color w:val="1F2937"/>
          <w:sz w:val="22"/>
          <w:szCs w:val="22"/>
        </w:rPr>
        <w:t xml:space="preserve">, a przeprowadzimy Cię krok po kroku.</w:t>
      </w:r>
    </w:p>
    <w:p>
      <w:pPr>
        <w:pStyle w:val="Heading2"/>
        <w:spacing w:after="160" w:before="360"/>
      </w:pPr>
      <w:r>
        <w:rPr>
          <w:rFonts w:ascii="Calibri" w:cs="Calibri" w:eastAsia="Calibri" w:hAnsi="Calibri"/>
          <w:b/>
          <w:bCs/>
          <w:color w:val="1F2937"/>
          <w:sz w:val="27"/>
          <w:szCs w:val="27"/>
        </w:rPr>
        <w:t xml:space="preserve">2.8 Odinstalowanie lub ponowna instalacja</w:t>
      </w:r>
    </w:p>
    <w:p>
      <w:pPr>
        <w:spacing w:after="200" w:line="300"/>
      </w:pPr>
      <w:r>
        <w:rPr>
          <w:rFonts w:ascii="Calibri" w:cs="Calibri" w:eastAsia="Calibri" w:hAnsi="Calibri"/>
          <w:color w:val="1F2937"/>
          <w:sz w:val="22"/>
          <w:szCs w:val="22"/>
        </w:rPr>
        <w:t xml:space="preserve">Zamknij TASc6 z ikony w obszarze powiadomień (Stop) przed odinstalowaniem lub ponowną instalacją. Jeśli Windows później zgłasza, że plik bazy danych lub programu jest „w użyciu”, mimo że odinstalowano, w tle nadal działa kopia Node.js z TASc6 — otwórz Menedżera zadań, przejdź do karty Szczegóły i zakończ każdy proces node.exe, zanim spróbujesz ponownie.</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3. Konfiguracja Twojej lokalizacji</w:t>
      </w:r>
    </w:p>
    <w:p>
      <w:pPr>
        <w:spacing w:after="200" w:line="300"/>
      </w:pPr>
      <w:r>
        <w:rPr>
          <w:rFonts w:ascii="Calibri" w:cs="Calibri" w:eastAsia="Calibri" w:hAnsi="Calibri"/>
          <w:color w:val="1F2937"/>
          <w:sz w:val="22"/>
          <w:szCs w:val="22"/>
        </w:rPr>
        <w:t xml:space="preserve">TASc6 to jeden system na żywo, oglądany z każdego miejsca w lokalizacji. Poprawne ustawienie tego zależy bardziej od sieci i rozmieszczenia urządzeń niż od samego oprogramowania.</w:t>
      </w:r>
    </w:p>
    <w:p>
      <w:pPr>
        <w:pStyle w:val="Heading2"/>
        <w:spacing w:after="160" w:before="360"/>
      </w:pPr>
      <w:r>
        <w:rPr>
          <w:rFonts w:ascii="Calibri" w:cs="Calibri" w:eastAsia="Calibri" w:hAnsi="Calibri"/>
          <w:b/>
          <w:bCs/>
          <w:color w:val="1F2937"/>
          <w:sz w:val="27"/>
          <w:szCs w:val="27"/>
        </w:rPr>
        <w:t xml:space="preserve">3.1 Podstawowy układ</w:t>
      </w:r>
    </w:p>
    <w:p>
      <w:pPr>
        <w:spacing w:after="200" w:line="300"/>
      </w:pPr>
      <w:r>
        <w:rPr>
          <w:rFonts w:ascii="Calibri" w:cs="Calibri" w:eastAsia="Calibri" w:hAnsi="Calibri"/>
          <w:b/>
          <w:bCs/>
          <w:color w:val="1F2937"/>
          <w:sz w:val="22"/>
          <w:szCs w:val="22"/>
        </w:rPr>
        <w:t xml:space="preserve">Komputer-host.</w:t>
      </w:r>
      <w:r>
        <w:rPr>
          <w:rFonts w:ascii="Calibri" w:cs="Calibri" w:eastAsia="Calibri" w:hAnsi="Calibri"/>
          <w:color w:val="1F2937"/>
          <w:sz w:val="22"/>
          <w:szCs w:val="22"/>
        </w:rPr>
        <w:t xml:space="preserve"> Jeden komputer lub serwer z Windows uruchamia instalator TASc6 i pozostaje włączony — to z nim komunikuje się każde inne urządzenie w lokalizacji. Nie musi być wydajny; musi być niezawodny i stale włączony.</w:t>
      </w:r>
    </w:p>
    <w:p>
      <w:pPr>
        <w:spacing w:after="200" w:line="300"/>
      </w:pPr>
      <w:r>
        <w:rPr>
          <w:rFonts w:ascii="Calibri" w:cs="Calibri" w:eastAsia="Calibri" w:hAnsi="Calibri"/>
          <w:b/>
          <w:bCs/>
          <w:color w:val="1F2937"/>
          <w:sz w:val="22"/>
          <w:szCs w:val="22"/>
        </w:rPr>
        <w:t xml:space="preserve">Sieć.</w:t>
      </w:r>
      <w:r>
        <w:rPr>
          <w:rFonts w:ascii="Calibri" w:cs="Calibri" w:eastAsia="Calibri" w:hAnsi="Calibri"/>
          <w:color w:val="1F2937"/>
          <w:sz w:val="22"/>
          <w:szCs w:val="22"/>
        </w:rPr>
        <w:t xml:space="preserve"> Ten host oraz każdy komputer i tablet, który ma się z nim łączyć, powinny znajdować się w tej samej sieci — najlepiej w dedykowanej sieci VLAN, oddzielonej od ogólnego ruchu biurowego i gościnnego, aby działania w bazie nie konkurowały ze zwykłym szumem sieciowym.</w:t>
      </w:r>
    </w:p>
    <w:p>
      <w:pPr>
        <w:pStyle w:val="Heading2"/>
        <w:spacing w:after="160" w:before="360"/>
      </w:pPr>
      <w:r>
        <w:rPr>
          <w:rFonts w:ascii="Calibri" w:cs="Calibri" w:eastAsia="Calibri" w:hAnsi="Calibri"/>
          <w:b/>
          <w:bCs/>
          <w:color w:val="1F2937"/>
          <w:sz w:val="27"/>
          <w:szCs w:val="27"/>
        </w:rPr>
        <w:t xml:space="preserve">3.2 Urządzenia według roli</w:t>
      </w:r>
    </w:p>
    <w:p>
      <w:pPr>
        <w:spacing w:after="200" w:line="300"/>
      </w:pPr>
      <w:r>
        <w:rPr>
          <w:rFonts w:ascii="Calibri" w:cs="Calibri" w:eastAsia="Calibri" w:hAnsi="Calibri"/>
          <w:b/>
          <w:bCs/>
          <w:color w:val="1F2937"/>
          <w:sz w:val="22"/>
          <w:szCs w:val="22"/>
        </w:rPr>
        <w:t xml:space="preserve">Komputery —</w:t>
      </w:r>
      <w:r>
        <w:rPr>
          <w:rFonts w:ascii="Calibri" w:cs="Calibri" w:eastAsia="Calibri" w:hAnsi="Calibri"/>
          <w:color w:val="1F2937"/>
          <w:sz w:val="22"/>
          <w:szCs w:val="22"/>
        </w:rPr>
        <w:t xml:space="preserve"> Kierownicy załadunku, Fleet, Admin, Plannerzy i VMU pracują przy stałym biurku, więc wystarczy zwykły komputer stacjonarny lub laptop w sieci biurowej przewodowej albo Wi-Fi. Każdy po prostu otwiera przeglądarkę wskazującą komputer-host.</w:t>
      </w:r>
    </w:p>
    <w:p>
      <w:pPr>
        <w:spacing w:after="200" w:line="300"/>
      </w:pPr>
      <w:r>
        <w:rPr>
          <w:rFonts w:ascii="Calibri" w:cs="Calibri" w:eastAsia="Calibri" w:hAnsi="Calibri"/>
          <w:b/>
          <w:bCs/>
          <w:color w:val="1F2937"/>
          <w:sz w:val="22"/>
          <w:szCs w:val="22"/>
        </w:rPr>
        <w:t xml:space="preserve">Tablety —</w:t>
      </w:r>
      <w:r>
        <w:rPr>
          <w:rFonts w:ascii="Calibri" w:cs="Calibri" w:eastAsia="Calibri" w:hAnsi="Calibri"/>
          <w:color w:val="1F2937"/>
          <w:sz w:val="22"/>
          <w:szCs w:val="22"/>
        </w:rPr>
        <w:t xml:space="preserve"> Shuntery poruszają się po bazie, a nie siedzą przy biurku, więc ich ekranem jest tablet zamontowany w kabinie ciągnika manewrowego. Łączy się tak samo jak komputer — przez Wi-Fi zamiast kablem — dlatego zasięg w całej bazie jest tak ważny właśnie dla tej roli.</w:t>
      </w:r>
    </w:p>
    <w:p>
      <w:pPr>
        <w:pStyle w:val="ListParagraph"/>
        <w:numPr>
          <w:ilvl w:val="0"/>
          <w:numId w:val="6"/>
        </w:numPr>
        <w:spacing w:after="120" w:line="290"/>
      </w:pPr>
      <w:r>
        <w:rPr>
          <w:rFonts w:ascii="Calibri" w:cs="Calibri" w:eastAsia="Calibri" w:hAnsi="Calibri"/>
          <w:color w:val="1F2937"/>
          <w:sz w:val="22"/>
          <w:szCs w:val="22"/>
        </w:rPr>
        <w:t xml:space="preserve">Najlepiej 15,6″ lub większy</w:t>
      </w:r>
    </w:p>
    <w:p>
      <w:pPr>
        <w:pStyle w:val="ListParagraph"/>
        <w:numPr>
          <w:ilvl w:val="0"/>
          <w:numId w:val="6"/>
        </w:numPr>
        <w:spacing w:after="120" w:line="290"/>
      </w:pPr>
      <w:r>
        <w:rPr>
          <w:rFonts w:ascii="Calibri" w:cs="Calibri" w:eastAsia="Calibri" w:hAnsi="Calibri"/>
          <w:color w:val="1F2937"/>
          <w:sz w:val="22"/>
          <w:szCs w:val="22"/>
        </w:rPr>
        <w:t xml:space="preserve">Tablety z Androidem ograniczone do wyświetlania wyłącznie TASc6 sprawdzają się dobrze — wystarczy dowolny sprzęt z przeglądarką i Wi-Fi</w:t>
      </w:r>
    </w:p>
    <w:p>
      <w:pPr>
        <w:pStyle w:val="ListParagraph"/>
        <w:numPr>
          <w:ilvl w:val="0"/>
          <w:numId w:val="6"/>
        </w:numPr>
        <w:spacing w:after="120" w:line="290"/>
      </w:pPr>
      <w:r>
        <w:rPr>
          <w:rFonts w:ascii="Calibri" w:cs="Calibri" w:eastAsia="Calibri" w:hAnsi="Calibri"/>
          <w:color w:val="1F2937"/>
          <w:sz w:val="22"/>
          <w:szCs w:val="22"/>
        </w:rPr>
        <w:t xml:space="preserve">Potrzebny jest sygnał wszędzie tam, gdzie jeździ ciągnik manewrowy, nie tylko w pobliżu biura</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Zasięg bezprzewodowy.  </w:t>
      </w:r>
      <w:r>
        <w:rPr>
          <w:rFonts w:ascii="Calibri" w:cs="Calibri" w:eastAsia="Calibri" w:hAnsi="Calibri"/>
          <w:color w:val="4B5563"/>
          <w:sz w:val="22"/>
          <w:szCs w:val="22"/>
        </w:rPr>
        <w:t xml:space="preserve"> Ponieważ Shuntery oglądają TASc6 z poruszającego się pojazdu, nierówne Wi-Fi w dowolnym miejscu lokalizacji od razu objawia się znikającym ekranem w ciągniku. Punkty dostępowe przeznaczone do pracy na zewnątrz, rozmieszczone tak, by pokryć cały obszar bazy — bramy, strefy załadunku, najdalsze zakątki — zapewniają niezawodność. O wiele łatwiej od początku dobrze zbadać i rozmieścić punkty dostępowe niż gonić martwą strefę, gdy Shuntery już na nim polegają. Jeśli nie wiesz, ilu potrzebuje Twoja baza, warto zapłacić za badanie terenu przez instalatora sieci.</w:t>
      </w:r>
    </w:p>
    <w:p>
      <w:pPr>
        <w:pStyle w:val="Heading2"/>
        <w:spacing w:after="160" w:before="360"/>
      </w:pPr>
      <w:r>
        <w:rPr>
          <w:rFonts w:ascii="Calibri" w:cs="Calibri" w:eastAsia="Calibri" w:hAnsi="Calibri"/>
          <w:b/>
          <w:bCs/>
          <w:color w:val="1F2937"/>
          <w:sz w:val="27"/>
          <w:szCs w:val="27"/>
        </w:rPr>
        <w:t xml:space="preserve">3.3 Krok po kroku</w:t>
      </w:r>
    </w:p>
    <w:p>
      <w:pPr>
        <w:pStyle w:val="ListParagraph"/>
        <w:numPr>
          <w:ilvl w:val="0"/>
          <w:numId w:val="7"/>
        </w:numPr>
        <w:spacing w:after="180" w:line="290"/>
      </w:pPr>
      <w:r>
        <w:rPr>
          <w:rFonts w:ascii="Calibri" w:cs="Calibri" w:eastAsia="Calibri" w:hAnsi="Calibri"/>
          <w:color w:val="1F2937"/>
          <w:sz w:val="22"/>
          <w:szCs w:val="22"/>
        </w:rPr>
        <w:t xml:space="preserve">Przygotuj sieć — skonfiguruj dedykowaną sieć VLAN dla ruchu TASc6, oddzieloną od ogólnego Wi-Fi biurowego i gościnnego.</w:t>
      </w:r>
    </w:p>
    <w:p>
      <w:pPr>
        <w:pStyle w:val="ListParagraph"/>
        <w:numPr>
          <w:ilvl w:val="0"/>
          <w:numId w:val="7"/>
        </w:numPr>
        <w:spacing w:after="180" w:line="290"/>
      </w:pPr>
      <w:r>
        <w:rPr>
          <w:rFonts w:ascii="Calibri" w:cs="Calibri" w:eastAsia="Calibri" w:hAnsi="Calibri"/>
          <w:color w:val="1F2937"/>
          <w:sz w:val="22"/>
          <w:szCs w:val="22"/>
        </w:rPr>
        <w:t xml:space="preserve">Rozmieść punkty dostępowe Wi-Fi — zainstaluj zewnętrzne punkty dostępowe pokrywające cały obszar bazy, podłączone do tej samej sieci VLAN. Następnie przejdź lub przejedź całą bazę, aby sprawdzić, czy na żadnej trasie, którą faktycznie pojedzie ciągnik manewrowy, nie ma martwej strefy.</w:t>
      </w:r>
    </w:p>
    <w:p>
      <w:pPr>
        <w:pStyle w:val="ListParagraph"/>
        <w:numPr>
          <w:ilvl w:val="0"/>
          <w:numId w:val="7"/>
        </w:numPr>
        <w:spacing w:after="180" w:line="290"/>
      </w:pPr>
      <w:r>
        <w:rPr>
          <w:rFonts w:ascii="Calibri" w:cs="Calibri" w:eastAsia="Calibri" w:hAnsi="Calibri"/>
          <w:color w:val="1F2937"/>
          <w:sz w:val="22"/>
          <w:szCs w:val="22"/>
        </w:rPr>
        <w:t xml:space="preserve">Wybierz komputer-host — maszyna z Windows 10, 11 lub Server, komputer stacjonarny lub mały serwer. Podłącz go kablem, jeśli to możliwe, i zostaw włączony.</w:t>
      </w:r>
    </w:p>
    <w:p>
      <w:pPr>
        <w:pStyle w:val="ListParagraph"/>
        <w:numPr>
          <w:ilvl w:val="0"/>
          <w:numId w:val="7"/>
        </w:numPr>
        <w:spacing w:after="180" w:line="290"/>
      </w:pPr>
      <w:r>
        <w:rPr>
          <w:rFonts w:ascii="Calibri" w:cs="Calibri" w:eastAsia="Calibri" w:hAnsi="Calibri"/>
          <w:color w:val="1F2937"/>
          <w:sz w:val="22"/>
          <w:szCs w:val="22"/>
        </w:rPr>
        <w:t xml:space="preserve">Pobierz i uruchom instalator — zobacz rozdział 2.</w:t>
      </w:r>
    </w:p>
    <w:p>
      <w:pPr>
        <w:pStyle w:val="ListParagraph"/>
        <w:numPr>
          <w:ilvl w:val="0"/>
          <w:numId w:val="7"/>
        </w:numPr>
        <w:spacing w:after="180" w:line="290"/>
      </w:pPr>
      <w:r>
        <w:rPr>
          <w:rFonts w:ascii="Calibri" w:cs="Calibri" w:eastAsia="Calibri" w:hAnsi="Calibri"/>
          <w:color w:val="1F2937"/>
          <w:sz w:val="22"/>
          <w:szCs w:val="22"/>
        </w:rPr>
        <w:t xml:space="preserve">Nadaj komputerowi-hostowi stały adres — statyczny IP lub rezerwację DHCP na routerze, aby jego adres nigdy się nie zmieniał. Każde inne urządzenie w lokalizacji wskazuje ten adres.</w:t>
      </w:r>
    </w:p>
    <w:p>
      <w:pPr>
        <w:pStyle w:val="ListParagraph"/>
        <w:numPr>
          <w:ilvl w:val="0"/>
          <w:numId w:val="7"/>
        </w:numPr>
        <w:spacing w:after="180" w:line="290"/>
      </w:pPr>
      <w:r>
        <w:rPr>
          <w:rFonts w:ascii="Calibri" w:cs="Calibri" w:eastAsia="Calibri" w:hAnsi="Calibri"/>
          <w:color w:val="1F2937"/>
          <w:sz w:val="22"/>
          <w:szCs w:val="22"/>
        </w:rPr>
        <w:t xml:space="preserve">Podłącz komputery biurowe — na każdym komputerze Kierownika załadunku, Fleet, Admin, Plannera lub VMU otwórz przeglądarkę pod adresem komputera-hosta (np. http://192.168.x.x:3000), zaloguj się kontem danej roli i dodaj zakładkę.</w:t>
      </w:r>
    </w:p>
    <w:p>
      <w:pPr>
        <w:pStyle w:val="ListParagraph"/>
        <w:numPr>
          <w:ilvl w:val="0"/>
          <w:numId w:val="7"/>
        </w:numPr>
        <w:spacing w:after="180" w:line="290"/>
      </w:pPr>
      <w:r>
        <w:rPr>
          <w:rFonts w:ascii="Calibri" w:cs="Calibri" w:eastAsia="Calibri" w:hAnsi="Calibri"/>
          <w:color w:val="1F2937"/>
          <w:sz w:val="22"/>
          <w:szCs w:val="22"/>
        </w:rPr>
        <w:t xml:space="preserve">Podłącz i zamontuj tablety — połącz każdy tablet z Wi-Fi bazy, otwórz przeglądarkę pod tym samym adresem hosta, zaloguj się kontem Shunter i zamontuj tablet w kabinie ciągnika manewrowego.</w:t>
      </w:r>
    </w:p>
    <w:p>
      <w:pPr>
        <w:pStyle w:val="ListParagraph"/>
        <w:numPr>
          <w:ilvl w:val="0"/>
          <w:numId w:val="7"/>
        </w:numPr>
        <w:spacing w:after="180" w:line="290"/>
      </w:pPr>
      <w:r>
        <w:rPr>
          <w:rFonts w:ascii="Calibri" w:cs="Calibri" w:eastAsia="Calibri" w:hAnsi="Calibri"/>
          <w:color w:val="1F2937"/>
          <w:sz w:val="22"/>
          <w:szCs w:val="22"/>
        </w:rPr>
        <w:t xml:space="preserve">Obejdź lokalizację przed uruchomieniem — objedź ciągnikiem manewrowym całą bazę z działającym tabletem, sprawdzając, czy połączenie utrzymuje się wszędzie tam, gdzie faktycznie będzie pracował Shunter, nie tylko w pobliżu biura.</w:t>
      </w:r>
    </w:p>
    <w:p>
      <w:pPr>
        <w:pStyle w:val="ListParagraph"/>
        <w:numPr>
          <w:ilvl w:val="0"/>
          <w:numId w:val="7"/>
        </w:numPr>
        <w:spacing w:after="180" w:line="290"/>
      </w:pPr>
      <w:r>
        <w:rPr>
          <w:rFonts w:ascii="Calibri" w:cs="Calibri" w:eastAsia="Calibri" w:hAnsi="Calibri"/>
          <w:color w:val="1F2937"/>
          <w:sz w:val="22"/>
          <w:szCs w:val="22"/>
        </w:rPr>
        <w:t xml:space="preserve">Aktywuj licencję — zobacz rozdział 2.7.</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Planujesz wdrożenie w wielu lokalizacjach?  </w:t>
      </w:r>
      <w:r>
        <w:rPr>
          <w:rFonts w:ascii="Calibri" w:cs="Calibri" w:eastAsia="Calibri" w:hAnsi="Calibri"/>
          <w:color w:val="4B5563"/>
          <w:sz w:val="22"/>
          <w:szCs w:val="22"/>
        </w:rPr>
        <w:t xml:space="preserve"> Napisz na info@tasc6.net, a pomożemy zaplanować sieć i urządzenia, zanim cokolwiek kupisz.</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4. Pierwsze kroki</w:t>
      </w:r>
    </w:p>
    <w:p>
      <w:pPr>
        <w:pStyle w:val="Heading2"/>
        <w:spacing w:after="160" w:before="360"/>
      </w:pPr>
      <w:r>
        <w:rPr>
          <w:rFonts w:ascii="Calibri" w:cs="Calibri" w:eastAsia="Calibri" w:hAnsi="Calibri"/>
          <w:b/>
          <w:bCs/>
          <w:color w:val="1F2937"/>
          <w:sz w:val="27"/>
          <w:szCs w:val="27"/>
        </w:rPr>
        <w:t xml:space="preserve">4.1 Logowanie</w:t>
      </w:r>
    </w:p>
    <w:p>
      <w:pPr>
        <w:spacing w:after="200" w:line="300"/>
      </w:pPr>
      <w:r>
        <w:rPr>
          <w:rFonts w:ascii="Calibri" w:cs="Calibri" w:eastAsia="Calibri" w:hAnsi="Calibri"/>
          <w:color w:val="1F2937"/>
          <w:sz w:val="22"/>
          <w:szCs w:val="22"/>
        </w:rPr>
        <w:t xml:space="preserve">Każdy użytkownik loguje się nazwą użytkownika, hasłem i lokalizacją. Administrator tworzy Twoje konto i podaje nazwę użytkownika, hasło początkowe oraz lokalizacje, do których możesz się zalogować.</w:t>
      </w:r>
    </w:p>
    <w:p>
      <w:pPr>
        <w:pStyle w:val="Heading2"/>
        <w:spacing w:after="160" w:before="360"/>
      </w:pPr>
      <w:r>
        <w:rPr>
          <w:rFonts w:ascii="Calibri" w:cs="Calibri" w:eastAsia="Calibri" w:hAnsi="Calibri"/>
          <w:b/>
          <w:bCs/>
          <w:color w:val="1F2937"/>
          <w:sz w:val="27"/>
          <w:szCs w:val="27"/>
        </w:rPr>
        <w:t xml:space="preserve">4.2 Poruszanie się po aplikacji</w:t>
      </w:r>
    </w:p>
    <w:p>
      <w:pPr>
        <w:spacing w:after="200" w:line="300"/>
      </w:pPr>
      <w:r>
        <w:rPr>
          <w:rFonts w:ascii="Calibri" w:cs="Calibri" w:eastAsia="Calibri" w:hAnsi="Calibri"/>
          <w:color w:val="1F2937"/>
          <w:sz w:val="22"/>
          <w:szCs w:val="22"/>
        </w:rPr>
        <w:t xml:space="preserve">Po zalogowaniu trafiasz na jeden ekran stworzony dla Twojej roli — nie trzeba szukać w menu. Admin, Planner i Fleet to jedyne role z więcej niż jedną stroną, ponieważ tylko one kiedykolwiek tego potrzebują.</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Wszystko aktualizuje się na żywo.  </w:t>
      </w:r>
      <w:r>
        <w:rPr>
          <w:rFonts w:ascii="Calibri" w:cs="Calibri" w:eastAsia="Calibri" w:hAnsi="Calibri"/>
          <w:color w:val="4B5563"/>
          <w:sz w:val="22"/>
          <w:szCs w:val="22"/>
        </w:rPr>
        <w:t xml:space="preserve"> Jeśli ktoś inny zarejestruje naczepę przy bramie, przypisze kierowcę lub zakończy obsługę stanowiska, Twój ekran zaktualizuje się sam w ciągu sekundy lub dwóch — nigdy nie musisz odświeżać.</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5. Admin</w:t>
      </w:r>
    </w:p>
    <w:p>
      <w:pPr>
        <w:spacing w:after="200" w:line="300"/>
      </w:pPr>
      <w:r>
        <w:rPr>
          <w:rFonts w:ascii="Calibri" w:cs="Calibri" w:eastAsia="Calibri" w:hAnsi="Calibri"/>
          <w:color w:val="1F2937"/>
          <w:sz w:val="22"/>
          <w:szCs w:val="22"/>
        </w:rPr>
        <w:t xml:space="preserve">Admin konfiguruje wszystko, z czym inne role pracują na co dzień. Jest podzielony na karty: Dashboard, Trailers, Trucks, Drivers, Users, Bays, Bay Restrictions, Backups, Sites, Trailer Types, Configurations, Audit Log i System.</w:t>
      </w:r>
    </w:p>
    <w:p>
      <w:pPr>
        <w:pStyle w:val="Heading2"/>
        <w:spacing w:after="160" w:before="360"/>
      </w:pPr>
      <w:r>
        <w:rPr>
          <w:rFonts w:ascii="Calibri" w:cs="Calibri" w:eastAsia="Calibri" w:hAnsi="Calibri"/>
          <w:b/>
          <w:bCs/>
          <w:color w:val="1F2937"/>
          <w:sz w:val="27"/>
          <w:szCs w:val="27"/>
        </w:rPr>
        <w:t xml:space="preserve">5.1 Dashboard</w:t>
      </w:r>
    </w:p>
    <w:p>
      <w:pPr>
        <w:spacing w:after="200" w:line="300"/>
      </w:pPr>
      <w:r>
        <w:rPr>
          <w:rFonts w:ascii="Calibri" w:cs="Calibri" w:eastAsia="Calibri" w:hAnsi="Calibri"/>
          <w:color w:val="1F2937"/>
          <w:sz w:val="22"/>
          <w:szCs w:val="22"/>
        </w:rPr>
        <w:t xml:space="preserve">Podsumowanie w skrócie: łączna liczba naczep, łączna liczba użytkowników, naczepy aktualnie aktywne oraz liczba przestawień oczekujących w bazie w tej chwili.</w:t>
      </w:r>
    </w:p>
    <w:p>
      <w:pPr>
        <w:pStyle w:val="Heading2"/>
        <w:spacing w:after="160" w:before="360"/>
      </w:pPr>
      <w:r>
        <w:rPr>
          <w:rFonts w:ascii="Calibri" w:cs="Calibri" w:eastAsia="Calibri" w:hAnsi="Calibri"/>
          <w:b/>
          <w:bCs/>
          <w:color w:val="1F2937"/>
          <w:sz w:val="27"/>
          <w:szCs w:val="27"/>
        </w:rPr>
        <w:t xml:space="preserve">5.2 Sites</w:t>
      </w:r>
    </w:p>
    <w:p>
      <w:pPr>
        <w:spacing w:after="200" w:line="300"/>
      </w:pPr>
      <w:r>
        <w:rPr>
          <w:rFonts w:ascii="Calibri" w:cs="Calibri" w:eastAsia="Calibri" w:hAnsi="Calibri"/>
          <w:color w:val="1F2937"/>
          <w:sz w:val="22"/>
          <w:szCs w:val="22"/>
        </w:rPr>
        <w:t xml:space="preserve">Dodawaj, zmieniaj nazwy lub usuwaj lokalizacje (więcej niż jednej potrzebują tylko instalacje Multi Site). Każda lokalizacja może mieć Default Haulier (domyślnego przewoźnika) — po ustawieniu wstępnie wypełnia pole Haulier na ekranach wjazdu i wyjazdu w Security dla tej lokalizacji, oszczędzając Security wpisywania tego samego przewoźnika przy każdym zdarzeniu przy bramie. To tylko wartość początkowa; Security zawsze może ją nadpisać dla konkretnego ładunku.</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Kod lokalizacji.  </w:t>
      </w:r>
      <w:r>
        <w:rPr>
          <w:rFonts w:ascii="Calibri" w:cs="Calibri" w:eastAsia="Calibri" w:hAnsi="Calibri"/>
          <w:color w:val="4B5563"/>
          <w:sz w:val="22"/>
          <w:szCs w:val="22"/>
        </w:rPr>
        <w:t xml:space="preserve"> Wybierany przy tworzeniu lokalizacji i niezmienny potem, ponieważ odwołują się do niego bezpośrednio inne rekordy (naczepy, stanowiska, użytkownicy). Później można edytować tylko nazwę lokalizacji i domyślnego przewoźnika.</w:t>
      </w:r>
    </w:p>
    <w:p>
      <w:pPr>
        <w:pStyle w:val="Heading2"/>
        <w:spacing w:after="160" w:before="360"/>
      </w:pPr>
      <w:r>
        <w:rPr>
          <w:rFonts w:ascii="Calibri" w:cs="Calibri" w:eastAsia="Calibri" w:hAnsi="Calibri"/>
          <w:b/>
          <w:bCs/>
          <w:color w:val="1F2937"/>
          <w:sz w:val="27"/>
          <w:szCs w:val="27"/>
        </w:rPr>
        <w:t xml:space="preserve">5.3 Typy i konfiguracje naczep</w:t>
      </w:r>
    </w:p>
    <w:p>
      <w:pPr>
        <w:spacing w:after="200" w:line="300"/>
      </w:pPr>
      <w:r>
        <w:rPr>
          <w:rFonts w:ascii="Calibri" w:cs="Calibri" w:eastAsia="Calibri" w:hAnsi="Calibri"/>
          <w:color w:val="1F2937"/>
          <w:sz w:val="22"/>
          <w:szCs w:val="22"/>
        </w:rPr>
        <w:t xml:space="preserve">Trailer Types (np. „firanka 13,6 m”) i Configurations opisują, czym jest naczepa, na potrzeby planowania i ograniczeń. Oba umożliwiają dodawanie, edycję i usuwanie na własnych kartach.</w:t>
      </w:r>
    </w:p>
    <w:p>
      <w:pPr>
        <w:pStyle w:val="Heading2"/>
        <w:spacing w:after="160" w:before="360"/>
      </w:pPr>
      <w:r>
        <w:rPr>
          <w:rFonts w:ascii="Calibri" w:cs="Calibri" w:eastAsia="Calibri" w:hAnsi="Calibri"/>
          <w:b/>
          <w:bCs/>
          <w:color w:val="1F2937"/>
          <w:sz w:val="27"/>
          <w:szCs w:val="27"/>
        </w:rPr>
        <w:t xml:space="preserve">5.4 Naczepy</w:t>
      </w:r>
    </w:p>
    <w:p>
      <w:pPr>
        <w:spacing w:after="200" w:line="300"/>
      </w:pPr>
      <w:r>
        <w:rPr>
          <w:rFonts w:ascii="Calibri" w:cs="Calibri" w:eastAsia="Calibri" w:hAnsi="Calibri"/>
          <w:color w:val="1F2937"/>
          <w:sz w:val="22"/>
          <w:szCs w:val="22"/>
        </w:rPr>
        <w:t xml:space="preserve">Pełna lista naczep ze wszystkich lokalizacji: numer, lokalizacja, typ, status, bieżące stanowisko i trasa. Dodaj tu nową naczepę, edytuj jej typ/konfigurację lub ją usuń.</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Usuwanie naczepy.  </w:t>
      </w:r>
      <w:r>
        <w:rPr>
          <w:rFonts w:ascii="Calibri" w:cs="Calibri" w:eastAsia="Calibri" w:hAnsi="Calibri"/>
          <w:color w:val="4B5563"/>
          <w:sz w:val="22"/>
          <w:szCs w:val="22"/>
        </w:rPr>
        <w:t xml:space="preserve"> Wszystkie inne elementy (użytkownicy, ciągniki, stanowiska, lokalizacje) są trwale usuwane po skasowaniu. Naczepy to jedyny wyjątek — usunięcie naczepy oznacza ją jako nieaktywną zamiast ją wymazać, ponieważ historia przemieszczeń, dzienniki bramy i zapisy dostaw często nadal się do niej odwołują. To zamierzone, a nie błąd.</w:t>
      </w:r>
    </w:p>
    <w:p>
      <w:pPr>
        <w:pStyle w:val="Heading2"/>
        <w:spacing w:after="160" w:before="360"/>
      </w:pPr>
      <w:r>
        <w:rPr>
          <w:rFonts w:ascii="Calibri" w:cs="Calibri" w:eastAsia="Calibri" w:hAnsi="Calibri"/>
          <w:b/>
          <w:bCs/>
          <w:color w:val="1F2937"/>
          <w:sz w:val="27"/>
          <w:szCs w:val="27"/>
        </w:rPr>
        <w:t xml:space="preserve">5.5 Ciągniki i kierowcy</w:t>
      </w:r>
    </w:p>
    <w:p>
      <w:pPr>
        <w:spacing w:after="200" w:line="300"/>
      </w:pPr>
      <w:r>
        <w:rPr>
          <w:rFonts w:ascii="Calibri" w:cs="Calibri" w:eastAsia="Calibri" w:hAnsi="Calibri"/>
          <w:color w:val="1F2937"/>
          <w:sz w:val="22"/>
          <w:szCs w:val="22"/>
        </w:rPr>
        <w:t xml:space="preserve">Dodawaj, edytuj i usuwaj ciągniki (numer rejestracyjny, lokalizacja macierzysta) oraz kierowców (imię i nazwisko, telefon, numer prawa jazdy, lokalizacja macierzysta). Oba działają z tą samą edycją na miejscu co reszta Admin.</w:t>
      </w:r>
    </w:p>
    <w:p>
      <w:pPr>
        <w:pStyle w:val="Heading2"/>
        <w:spacing w:after="160" w:before="360"/>
      </w:pPr>
      <w:r>
        <w:rPr>
          <w:rFonts w:ascii="Calibri" w:cs="Calibri" w:eastAsia="Calibri" w:hAnsi="Calibri"/>
          <w:b/>
          <w:bCs/>
          <w:color w:val="1F2937"/>
          <w:sz w:val="27"/>
          <w:szCs w:val="27"/>
        </w:rPr>
        <w:t xml:space="preserve">5.6 Stanowiska i ograniczenia stanowisk</w:t>
      </w:r>
    </w:p>
    <w:p>
      <w:pPr>
        <w:spacing w:after="200" w:line="300"/>
      </w:pPr>
      <w:r>
        <w:rPr>
          <w:rFonts w:ascii="Calibri" w:cs="Calibri" w:eastAsia="Calibri" w:hAnsi="Calibri"/>
          <w:color w:val="1F2937"/>
          <w:sz w:val="22"/>
          <w:szCs w:val="22"/>
        </w:rPr>
        <w:t xml:space="preserve">Bays wyświetla każde stanowisko w każdej lokalizacji — numer, strefę (np. INTAKE, FROZEN, CHILL, DEKIT), pozycję w siatce, status i to, czy jest aktywne. Edycja stanowiska pozwala zmienić jego strefę, pozycję w siatce, status i kolejność wyświetlania; lokalizacja i numer stanowiska są niezmienne po utworzeniu, ponieważ stanowią jego tożsamość.</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Pole Area.  </w:t>
      </w:r>
      <w:r>
        <w:rPr>
          <w:rFonts w:ascii="Calibri" w:cs="Calibri" w:eastAsia="Calibri" w:hAnsi="Calibri"/>
          <w:color w:val="4B5563"/>
          <w:sz w:val="22"/>
          <w:szCs w:val="22"/>
        </w:rPr>
        <w:t xml:space="preserve"> To dowolny tekst, a nie stała lista — tekst podpowiedzi sugeruje jako przykłady LOADING, INTAKE, FREEZER, CHILL lub DEKIT. Wpisuj stanowiska Dekit dokładnie jako DEKIT, konsekwentnie w całej lokalizacji, aby Loader, Dekit i Shunter rozpoznawali je tak samo (system nie rozróżnia wielkości liter, ale spójne własne nazewnictwo oszczędza zamieszania w zespole).</w:t>
      </w:r>
    </w:p>
    <w:p>
      <w:pPr>
        <w:spacing w:after="200" w:line="300"/>
      </w:pPr>
      <w:r>
        <w:rPr>
          <w:rFonts w:ascii="Calibri" w:cs="Calibri" w:eastAsia="Calibri" w:hAnsi="Calibri"/>
          <w:color w:val="1F2937"/>
          <w:sz w:val="22"/>
          <w:szCs w:val="22"/>
        </w:rPr>
        <w:t xml:space="preserve">Bay Restrictions pozwalają ograniczyć, które typy naczep mogą stać na zakresie stanowisk — przydatne, gdy na przykład tylko niektóre numery stanowisk fizycznie pomieszczą naczepę 13,6 m. Ograniczenia można filtrować według prefiksu numeru naczepy oprócz typu i dezaktywować bez usuwania.</w:t>
      </w:r>
    </w:p>
    <w:p>
      <w:pPr>
        <w:pStyle w:val="Heading2"/>
        <w:spacing w:after="160" w:before="360"/>
      </w:pPr>
      <w:r>
        <w:rPr>
          <w:rFonts w:ascii="Calibri" w:cs="Calibri" w:eastAsia="Calibri" w:hAnsi="Calibri"/>
          <w:b/>
          <w:bCs/>
          <w:color w:val="1F2937"/>
          <w:sz w:val="27"/>
          <w:szCs w:val="27"/>
        </w:rPr>
        <w:t xml:space="preserve">5.7 Użytkownicy</w:t>
      </w:r>
    </w:p>
    <w:p>
      <w:pPr>
        <w:spacing w:after="200" w:line="300"/>
      </w:pPr>
      <w:r>
        <w:rPr>
          <w:rFonts w:ascii="Calibri" w:cs="Calibri" w:eastAsia="Calibri" w:hAnsi="Calibri"/>
          <w:color w:val="1F2937"/>
          <w:sz w:val="22"/>
          <w:szCs w:val="22"/>
        </w:rPr>
        <w:t xml:space="preserve">Twórz, edytuj i dezaktywuj konta użytkowników: nazwa użytkownika, rola, lokalizacja macierzysta i aktywny/nieaktywny. Edycja użytkownika pozwala zmienić jego rolę, lokalizację macierzystą i status aktywności; nowe hasło można ustawić z tego samego ekranu w dowolnej chwili. Samej nazwy użytkownika nie można zmienić po utworzeniu.</w:t>
      </w:r>
    </w:p>
    <w:p>
      <w:pPr>
        <w:pStyle w:val="Heading2"/>
        <w:spacing w:after="160" w:before="360"/>
      </w:pPr>
      <w:r>
        <w:rPr>
          <w:rFonts w:ascii="Calibri" w:cs="Calibri" w:eastAsia="Calibri" w:hAnsi="Calibri"/>
          <w:b/>
          <w:bCs/>
          <w:color w:val="1F2937"/>
          <w:sz w:val="27"/>
          <w:szCs w:val="27"/>
        </w:rPr>
        <w:t xml:space="preserve">5.8 Backups</w:t>
      </w:r>
    </w:p>
    <w:p>
      <w:pPr>
        <w:spacing w:after="200" w:line="300"/>
      </w:pPr>
      <w:r>
        <w:rPr>
          <w:rFonts w:ascii="Calibri" w:cs="Calibri" w:eastAsia="Calibri" w:hAnsi="Calibri"/>
          <w:color w:val="1F2937"/>
          <w:sz w:val="22"/>
          <w:szCs w:val="22"/>
        </w:rPr>
        <w:t xml:space="preserve">Ustaw folder kopii zapasowych i okres przechowywania bazy danych oraz sprawdź, kiedy odbyły się ostatnia i następna zaplanowana kopia. Cotygodniowa kopia działa obok zwykłej kopii bazy, każda z własnym ustawieniem przechowywania.</w:t>
      </w:r>
    </w:p>
    <w:p>
      <w:pPr>
        <w:pStyle w:val="Heading2"/>
        <w:spacing w:after="160" w:before="360"/>
      </w:pPr>
      <w:r>
        <w:rPr>
          <w:rFonts w:ascii="Calibri" w:cs="Calibri" w:eastAsia="Calibri" w:hAnsi="Calibri"/>
          <w:b/>
          <w:bCs/>
          <w:color w:val="1F2937"/>
          <w:sz w:val="27"/>
          <w:szCs w:val="27"/>
        </w:rPr>
        <w:t xml:space="preserve">5.9 Audit Log</w:t>
      </w:r>
    </w:p>
    <w:p>
      <w:pPr>
        <w:spacing w:after="200" w:line="300"/>
      </w:pPr>
      <w:r>
        <w:rPr>
          <w:rFonts w:ascii="Calibri" w:cs="Calibri" w:eastAsia="Calibri" w:hAnsi="Calibri"/>
          <w:color w:val="1F2937"/>
          <w:sz w:val="22"/>
          <w:szCs w:val="22"/>
        </w:rPr>
        <w:t xml:space="preserve">Ciągły zapis tego, kto co i kiedy zrobił — każde utworzenie, edycja, usunięcie i zdarzenie przy bramie w systemie, z nazwą użytkownika, znacznikiem czasu, lokalizacją i szczegółami.</w:t>
      </w:r>
    </w:p>
    <w:p>
      <w:pPr>
        <w:pStyle w:val="Heading2"/>
        <w:spacing w:after="160" w:before="360"/>
      </w:pPr>
      <w:r>
        <w:rPr>
          <w:rFonts w:ascii="Calibri" w:cs="Calibri" w:eastAsia="Calibri" w:hAnsi="Calibri"/>
          <w:b/>
          <w:bCs/>
          <w:color w:val="1F2937"/>
          <w:sz w:val="27"/>
          <w:szCs w:val="27"/>
        </w:rPr>
        <w:t xml:space="preserve">5.10 System</w:t>
      </w:r>
    </w:p>
    <w:p>
      <w:pPr>
        <w:spacing w:after="200" w:line="300"/>
      </w:pPr>
      <w:r>
        <w:rPr>
          <w:rFonts w:ascii="Calibri" w:cs="Calibri" w:eastAsia="Calibri" w:hAnsi="Calibri"/>
          <w:color w:val="1F2937"/>
          <w:sz w:val="22"/>
          <w:szCs w:val="22"/>
        </w:rPr>
        <w:t xml:space="preserve">Informacje diagnostyczne tylko do odczytu — wersje Node.js i SQLite, środowisko, czas pracy serwera i czas serwera — przydatne przy zgłaszaniu problemu do pomocy technicznej.</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6. Planner</w:t>
      </w:r>
    </w:p>
    <w:p>
      <w:pPr>
        <w:spacing w:after="200" w:line="300"/>
      </w:pPr>
      <w:r>
        <w:rPr>
          <w:rFonts w:ascii="Calibri" w:cs="Calibri" w:eastAsia="Calibri" w:hAnsi="Calibri"/>
          <w:color w:val="1F2937"/>
          <w:sz w:val="22"/>
          <w:szCs w:val="22"/>
        </w:rPr>
        <w:t xml:space="preserve">Planner jest podzielony na trzy karty: Delivery Sites, Restrictions i Route Allocation.</w:t>
      </w:r>
    </w:p>
    <w:p>
      <w:pPr>
        <w:pStyle w:val="Heading2"/>
        <w:spacing w:after="160" w:before="360"/>
      </w:pPr>
      <w:r>
        <w:rPr>
          <w:rFonts w:ascii="Calibri" w:cs="Calibri" w:eastAsia="Calibri" w:hAnsi="Calibri"/>
          <w:b/>
          <w:bCs/>
          <w:color w:val="1F2937"/>
          <w:sz w:val="27"/>
          <w:szCs w:val="27"/>
        </w:rPr>
        <w:t xml:space="preserve">6.1 Delivery Sites</w:t>
      </w:r>
    </w:p>
    <w:p>
      <w:pPr>
        <w:spacing w:after="200" w:line="300"/>
      </w:pPr>
      <w:r>
        <w:rPr>
          <w:rFonts w:ascii="Calibri" w:cs="Calibri" w:eastAsia="Calibri" w:hAnsi="Calibri"/>
          <w:color w:val="1F2937"/>
          <w:sz w:val="22"/>
          <w:szCs w:val="22"/>
        </w:rPr>
        <w:t xml:space="preserve">Lista miejsc dostawy, do których można kierować naczepy — każde z numerem, nazwą i ograniczeniami, które go dotyczą (zobacz 6.2). Wyszukuj, dodawaj, edytuj i dezaktywuj punkty dostawy na tej karcie.</w:t>
      </w:r>
    </w:p>
    <w:p>
      <w:pPr>
        <w:pStyle w:val="Heading2"/>
        <w:spacing w:after="160" w:before="360"/>
      </w:pPr>
      <w:r>
        <w:rPr>
          <w:rFonts w:ascii="Calibri" w:cs="Calibri" w:eastAsia="Calibri" w:hAnsi="Calibri"/>
          <w:b/>
          <w:bCs/>
          <w:color w:val="1F2937"/>
          <w:sz w:val="27"/>
          <w:szCs w:val="27"/>
        </w:rPr>
        <w:t xml:space="preserve">6.2 Restrictions</w:t>
      </w:r>
    </w:p>
    <w:p>
      <w:pPr>
        <w:spacing w:after="200" w:line="300"/>
      </w:pPr>
      <w:r>
        <w:rPr>
          <w:rFonts w:ascii="Calibri" w:cs="Calibri" w:eastAsia="Calibri" w:hAnsi="Calibri"/>
          <w:color w:val="1F2937"/>
          <w:sz w:val="22"/>
          <w:szCs w:val="22"/>
        </w:rPr>
        <w:t xml:space="preserve">Ograniczenie to etykieta (np. „Zakaz pojazdów przegubowych”), którą możesz przypisać do punktu dostawy, razem z typami naczep, które mimo niej mogą tam jechać. Ograniczenia można dezaktywować bez usuwania, a punkt dostawy może mieć kilka naraz.</w:t>
      </w:r>
    </w:p>
    <w:p>
      <w:pPr>
        <w:pStyle w:val="Heading2"/>
        <w:spacing w:after="160" w:before="360"/>
      </w:pPr>
      <w:r>
        <w:rPr>
          <w:rFonts w:ascii="Calibri" w:cs="Calibri" w:eastAsia="Calibri" w:hAnsi="Calibri"/>
          <w:b/>
          <w:bCs/>
          <w:color w:val="1F2937"/>
          <w:sz w:val="27"/>
          <w:szCs w:val="27"/>
        </w:rPr>
        <w:t xml:space="preserve">6.3 Route Allocation</w:t>
      </w:r>
    </w:p>
    <w:p>
      <w:pPr>
        <w:spacing w:after="200" w:line="300"/>
      </w:pPr>
      <w:r>
        <w:rPr>
          <w:rFonts w:ascii="Calibri" w:cs="Calibri" w:eastAsia="Calibri" w:hAnsi="Calibri"/>
          <w:color w:val="1F2937"/>
          <w:sz w:val="22"/>
          <w:szCs w:val="22"/>
        </w:rPr>
        <w:t xml:space="preserve">Zbuduj trasę dla danej daty i numeru trasy, dodając punkty dostawy po kolei, zmieniając kolejność przystanków strzałkami w górę/w dół i usuwając te, które nie pasują. Numery tras zaczynają się codziennie od 001; użyj New Route, aby automatycznie uzyskać następny wolny numer dla wybranej daty.</w:t>
      </w:r>
    </w:p>
    <w:p>
      <w:pPr>
        <w:spacing w:after="200" w:line="300"/>
      </w:pPr>
      <w:r>
        <w:rPr>
          <w:rFonts w:ascii="Calibri" w:cs="Calibri" w:eastAsia="Calibri" w:hAnsi="Calibri"/>
          <w:b/>
          <w:bCs/>
          <w:color w:val="1F2937"/>
          <w:sz w:val="22"/>
          <w:szCs w:val="22"/>
        </w:rPr>
        <w:t xml:space="preserve">Zakończenie trasy.</w:t>
      </w:r>
      <w:r>
        <w:rPr>
          <w:rFonts w:ascii="Calibri" w:cs="Calibri" w:eastAsia="Calibri" w:hAnsi="Calibri"/>
          <w:color w:val="1F2937"/>
          <w:sz w:val="22"/>
          <w:szCs w:val="22"/>
        </w:rPr>
        <w:t xml:space="preserve"> Oznacz trasę jako Completed po jej wykonaniu lub użyj Reopen, jeśli trzeba ją zmienić po fakcie — plakietka statusu i przyciski odzwierciedlają stan, w którym się ona znajduje.</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7. Loader</w:t>
      </w:r>
    </w:p>
    <w:p>
      <w:pPr>
        <w:spacing w:after="200" w:line="300"/>
      </w:pPr>
      <w:r>
        <w:rPr>
          <w:rFonts w:ascii="Calibri" w:cs="Calibri" w:eastAsia="Calibri" w:hAnsi="Calibri"/>
          <w:color w:val="1F2937"/>
          <w:sz w:val="22"/>
          <w:szCs w:val="22"/>
        </w:rPr>
        <w:t xml:space="preserve">Ekran Loader pokazuje mapę stanowisk lokalizacji obok panelu Available Trailers — przeciągnij naczepę z panelu na stanowisko, aby ją przypisać.</w:t>
      </w:r>
    </w:p>
    <w:p>
      <w:pPr>
        <w:pStyle w:val="Heading2"/>
        <w:spacing w:after="160" w:before="360"/>
      </w:pPr>
      <w:r>
        <w:rPr>
          <w:rFonts w:ascii="Calibri" w:cs="Calibri" w:eastAsia="Calibri" w:hAnsi="Calibri"/>
          <w:b/>
          <w:bCs/>
          <w:color w:val="1F2937"/>
          <w:sz w:val="27"/>
          <w:szCs w:val="27"/>
        </w:rPr>
        <w:t xml:space="preserve">7.1 Dostępne naczepy</w:t>
      </w:r>
    </w:p>
    <w:p>
      <w:pPr>
        <w:spacing w:after="200" w:line="300"/>
      </w:pPr>
      <w:r>
        <w:rPr>
          <w:rFonts w:ascii="Calibri" w:cs="Calibri" w:eastAsia="Calibri" w:hAnsi="Calibri"/>
          <w:color w:val="1F2937"/>
          <w:sz w:val="22"/>
          <w:szCs w:val="22"/>
        </w:rPr>
        <w:t xml:space="preserve">Naczepy są pogrupowane w stałej kolejności, tak aby najczęstszy przypadek był zawsze na górze:</w:t>
      </w:r>
    </w:p>
    <w:p>
      <w:pPr>
        <w:pStyle w:val="ListParagraph"/>
        <w:numPr>
          <w:ilvl w:val="0"/>
          <w:numId w:val="8"/>
        </w:numPr>
        <w:spacing w:after="180" w:line="290"/>
      </w:pPr>
      <w:r>
        <w:rPr>
          <w:rFonts w:ascii="Calibri" w:cs="Calibri" w:eastAsia="Calibri" w:hAnsi="Calibri"/>
          <w:color w:val="1F2937"/>
          <w:sz w:val="22"/>
          <w:szCs w:val="22"/>
        </w:rPr>
        <w:t xml:space="preserve">Empty available — nie ma o czym myśleć, po prostu załaduj</w:t>
      </w:r>
    </w:p>
    <w:p>
      <w:pPr>
        <w:pStyle w:val="ListParagraph"/>
        <w:numPr>
          <w:ilvl w:val="0"/>
          <w:numId w:val="8"/>
        </w:numPr>
        <w:spacing w:after="180" w:line="290"/>
      </w:pPr>
      <w:r>
        <w:rPr>
          <w:rFonts w:ascii="Calibri" w:cs="Calibri" w:eastAsia="Calibri" w:hAnsi="Calibri"/>
          <w:color w:val="1F2937"/>
          <w:sz w:val="22"/>
          <w:szCs w:val="22"/>
        </w:rPr>
        <w:t xml:space="preserve">Dekit — wymaga obsługi Dekit, zanim będzie można ją załadować</w:t>
      </w:r>
    </w:p>
    <w:p>
      <w:pPr>
        <w:pStyle w:val="ListParagraph"/>
        <w:numPr>
          <w:ilvl w:val="0"/>
          <w:numId w:val="8"/>
        </w:numPr>
        <w:spacing w:after="180" w:line="290"/>
      </w:pPr>
      <w:r>
        <w:rPr>
          <w:rFonts w:ascii="Calibri" w:cs="Calibri" w:eastAsia="Calibri" w:hAnsi="Calibri"/>
          <w:color w:val="1F2937"/>
          <w:sz w:val="22"/>
          <w:szCs w:val="22"/>
        </w:rPr>
        <w:t xml:space="preserve">Return delivery — wymaga uwagi Dekit, zanim będzie można ją załadować</w:t>
      </w:r>
    </w:p>
    <w:p>
      <w:pPr>
        <w:pStyle w:val="ListParagraph"/>
        <w:numPr>
          <w:ilvl w:val="0"/>
          <w:numId w:val="8"/>
        </w:numPr>
        <w:spacing w:after="180" w:line="290"/>
      </w:pPr>
      <w:r>
        <w:rPr>
          <w:rFonts w:ascii="Calibri" w:cs="Calibri" w:eastAsia="Calibri" w:hAnsi="Calibri"/>
          <w:color w:val="1F2937"/>
          <w:sz w:val="22"/>
          <w:szCs w:val="22"/>
        </w:rPr>
        <w:t xml:space="preserve">Loaded returning — nadal wiezie prawdziwy, niedostarczony ładunek</w:t>
      </w:r>
    </w:p>
    <w:p>
      <w:pPr>
        <w:spacing w:after="200" w:line="300"/>
      </w:pPr>
      <w:r>
        <w:rPr>
          <w:rFonts w:ascii="Calibri" w:cs="Calibri" w:eastAsia="Calibri" w:hAnsi="Calibri"/>
          <w:color w:val="1F2937"/>
          <w:sz w:val="22"/>
          <w:szCs w:val="22"/>
        </w:rPr>
        <w:t xml:space="preserve">Każda karta pokazuje numer naczepy, jej typ i — gdy to istotne — drugi wiersz wskazujący, co wiezie:</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6438"/>
      </w:tblGrid>
      <w:tr>
        <w:trPr>
          <w:tblHeader/>
        </w:trPr>
        <w:tc>
          <w:tcPr>
            <w:tcW w:type="dxa" w:w="2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Etykieta</w:t>
            </w:r>
          </w:p>
        </w:tc>
        <w:tc>
          <w:tcPr>
            <w:tcW w:type="dxa" w:w="64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Znaczenie</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Dekit</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Wymaga obsługi Dekit — można ją przypisać tylko do stanowiska Dekit</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Returns</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Ma na pokładzie zwroty ze sklepów — można ją przypisać tylko do stanowiska Dekit</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Frozen / Chill / Ambient / Xdock</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Nadal wiezie tę kategorię niedostarczonego towaru</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Mixed</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Wiezie jednocześnie więcej niż jedną z kategorii Frozen/Chill/Ambient/Xdock</w:t>
            </w:r>
          </w:p>
        </w:tc>
      </w:tr>
    </w:tbl>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Naczepy Dekit i Returns  </w:t>
      </w:r>
      <w:r>
        <w:rPr>
          <w:rFonts w:ascii="Calibri" w:cs="Calibri" w:eastAsia="Calibri" w:hAnsi="Calibri"/>
          <w:color w:val="4B5563"/>
          <w:sz w:val="22"/>
          <w:szCs w:val="22"/>
        </w:rPr>
        <w:t xml:space="preserve"> można upuścić tylko na stanowisko w strefie Dekit — system odrzuca upuszczenie na jakiekolwiek inne stanowisko, bez względu na to, kto próbuje.</w:t>
      </w:r>
    </w:p>
    <w:p>
      <w:pPr>
        <w:pStyle w:val="Heading2"/>
        <w:spacing w:after="160" w:before="360"/>
      </w:pPr>
      <w:r>
        <w:rPr>
          <w:rFonts w:ascii="Calibri" w:cs="Calibri" w:eastAsia="Calibri" w:hAnsi="Calibri"/>
          <w:b/>
          <w:bCs/>
          <w:color w:val="1F2937"/>
          <w:sz w:val="27"/>
          <w:szCs w:val="27"/>
        </w:rPr>
        <w:t xml:space="preserve">7.2 Przypisywanie naczepy</w:t>
      </w:r>
    </w:p>
    <w:p>
      <w:pPr>
        <w:spacing w:after="200" w:line="300"/>
      </w:pPr>
      <w:r>
        <w:rPr>
          <w:rFonts w:ascii="Calibri" w:cs="Calibri" w:eastAsia="Calibri" w:hAnsi="Calibri"/>
          <w:color w:val="1F2937"/>
          <w:sz w:val="22"/>
          <w:szCs w:val="22"/>
        </w:rPr>
        <w:t xml:space="preserve">Przeciągnij kartę naczepy na stanowisko. To, co stanie się dalej, zależy od tego, co naczepa wiezie:</w:t>
      </w:r>
    </w:p>
    <w:p>
      <w:pPr>
        <w:pStyle w:val="ListParagraph"/>
        <w:numPr>
          <w:ilvl w:val="0"/>
          <w:numId w:val="9"/>
        </w:numPr>
        <w:spacing w:after="180" w:line="290"/>
      </w:pPr>
      <w:r>
        <w:rPr>
          <w:rFonts w:ascii="Calibri" w:cs="Calibri" w:eastAsia="Calibri" w:hAnsi="Calibri"/>
          <w:color w:val="1F2937"/>
          <w:sz w:val="22"/>
          <w:szCs w:val="22"/>
        </w:rPr>
        <w:t xml:space="preserve">Zwykła, pusta naczepa — zostaniesz zapytany o numer trasy dla tego załadunku (lub zostaw puste, aby na razie umieścić naczepę bez trasy).</w:t>
      </w:r>
    </w:p>
    <w:p>
      <w:pPr>
        <w:pStyle w:val="ListParagraph"/>
        <w:numPr>
          <w:ilvl w:val="0"/>
          <w:numId w:val="9"/>
        </w:numPr>
        <w:spacing w:after="180" w:line="290"/>
      </w:pPr>
      <w:r>
        <w:rPr>
          <w:rFonts w:ascii="Calibri" w:cs="Calibri" w:eastAsia="Calibri" w:hAnsi="Calibri"/>
          <w:color w:val="1F2937"/>
          <w:sz w:val="22"/>
          <w:szCs w:val="22"/>
        </w:rPr>
        <w:t xml:space="preserve">Naczepa Frozen/Chill/Ambient/Xdock (lub Mixed) — najpierw zostaniesz zapytany „Reload it now?”. Odpowiedz Yes, aby przypisać numer trasy jak zwykle; odpowiedz No, aby po prostu umieścić naczepę na stanowisku bez trasy, tak by została najpierw rozładowana.</w:t>
      </w:r>
    </w:p>
    <w:p>
      <w:pPr>
        <w:pStyle w:val="ListParagraph"/>
        <w:numPr>
          <w:ilvl w:val="0"/>
          <w:numId w:val="9"/>
        </w:numPr>
        <w:spacing w:after="180" w:line="290"/>
      </w:pPr>
      <w:r>
        <w:rPr>
          <w:rFonts w:ascii="Calibri" w:cs="Calibri" w:eastAsia="Calibri" w:hAnsi="Calibri"/>
          <w:color w:val="1F2937"/>
          <w:sz w:val="22"/>
          <w:szCs w:val="22"/>
        </w:rPr>
        <w:t xml:space="preserve">Naczepa Dekit lub Returns, upuszczona na stanowisko Dekit — numer trasy w ogóle nie jest wymagany; po prostu zostaje tam umieszczona, aby Dekit ją obsłużył.</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Tylko Loader  </w:t>
      </w:r>
      <w:r>
        <w:rPr>
          <w:rFonts w:ascii="Calibri" w:cs="Calibri" w:eastAsia="Calibri" w:hAnsi="Calibri"/>
          <w:color w:val="4B5563"/>
          <w:sz w:val="22"/>
          <w:szCs w:val="22"/>
        </w:rPr>
        <w:t xml:space="preserve"> może przypisać stanowisko naczepie, która nadal wiezie towar Frozen/Chill/Ambient/Xdock — Dekit i Shunter nie mogą tego wykonać, z założenia.</w:t>
      </w:r>
    </w:p>
    <w:p>
      <w:pPr>
        <w:pStyle w:val="Heading2"/>
        <w:spacing w:after="160" w:before="360"/>
      </w:pPr>
      <w:r>
        <w:rPr>
          <w:rFonts w:ascii="Calibri" w:cs="Calibri" w:eastAsia="Calibri" w:hAnsi="Calibri"/>
          <w:b/>
          <w:bCs/>
          <w:color w:val="1F2937"/>
          <w:sz w:val="27"/>
          <w:szCs w:val="27"/>
        </w:rPr>
        <w:t xml:space="preserve">7.3 Gdy naczepa stoi na stanowisku</w:t>
      </w:r>
    </w:p>
    <w:p>
      <w:pPr>
        <w:spacing w:after="200" w:line="300"/>
      </w:pPr>
      <w:r>
        <w:rPr>
          <w:rFonts w:ascii="Calibri" w:cs="Calibri" w:eastAsia="Calibri" w:hAnsi="Calibri"/>
          <w:color w:val="1F2937"/>
          <w:sz w:val="22"/>
          <w:szCs w:val="22"/>
        </w:rPr>
        <w:t xml:space="preserve">Naczepa na zwykłym stanowisku załadunku pokazuje dwa przyciski: Complete (po zakończeniu załadunku) i Move To (poproś Shuntera o przestawienie jej gdzie indziej).</w:t>
      </w:r>
    </w:p>
    <w:p>
      <w:pPr>
        <w:spacing w:after="200" w:line="300"/>
      </w:pPr>
      <w:r>
        <w:rPr>
          <w:rFonts w:ascii="Calibri" w:cs="Calibri" w:eastAsia="Calibri" w:hAnsi="Calibri"/>
          <w:color w:val="1F2937"/>
          <w:sz w:val="22"/>
          <w:szCs w:val="22"/>
        </w:rPr>
        <w:t xml:space="preserve">Naczepa, którą Dekit właśnie opróżnił — nadal stojąca na swoim stanowisku Dekit — pokazuje Move To i Park up zamiast Complete, ponieważ nie ma czego „kończyć”, dopóki nie zostanie faktycznie załadowana ponownie:</w:t>
      </w:r>
    </w:p>
    <w:p>
      <w:pPr>
        <w:pStyle w:val="ListParagraph"/>
        <w:numPr>
          <w:ilvl w:val="0"/>
          <w:numId w:val="6"/>
        </w:numPr>
        <w:spacing w:after="120" w:line="290"/>
      </w:pPr>
      <w:r>
        <w:rPr>
          <w:rFonts w:ascii="Calibri" w:cs="Calibri" w:eastAsia="Calibri" w:hAnsi="Calibri"/>
          <w:b/>
          <w:bCs/>
          <w:color w:val="1F2937"/>
          <w:sz w:val="22"/>
          <w:szCs w:val="22"/>
        </w:rPr>
        <w:t xml:space="preserve">Move To —</w:t>
      </w:r>
      <w:r>
        <w:rPr>
          <w:rFonts w:ascii="Calibri" w:cs="Calibri" w:eastAsia="Calibri" w:hAnsi="Calibri"/>
          <w:color w:val="1F2937"/>
          <w:sz w:val="22"/>
          <w:szCs w:val="22"/>
        </w:rPr>
        <w:t xml:space="preserve"> używa zwykłego żądania przestawienia — wybierz stanowisko docelowe, a Shunter je wykona.</w:t>
      </w:r>
    </w:p>
    <w:p>
      <w:pPr>
        <w:pStyle w:val="ListParagraph"/>
        <w:numPr>
          <w:ilvl w:val="0"/>
          <w:numId w:val="6"/>
        </w:numPr>
        <w:spacing w:after="120" w:line="290"/>
      </w:pPr>
      <w:r>
        <w:rPr>
          <w:rFonts w:ascii="Calibri" w:cs="Calibri" w:eastAsia="Calibri" w:hAnsi="Calibri"/>
          <w:b/>
          <w:bCs/>
          <w:color w:val="1F2937"/>
          <w:sz w:val="22"/>
          <w:szCs w:val="22"/>
        </w:rPr>
        <w:t xml:space="preserve">Park up —</w:t>
      </w:r>
      <w:r>
        <w:rPr>
          <w:rFonts w:ascii="Calibri" w:cs="Calibri" w:eastAsia="Calibri" w:hAnsi="Calibri"/>
          <w:color w:val="1F2937"/>
          <w:sz w:val="22"/>
          <w:szCs w:val="22"/>
        </w:rPr>
        <w:t xml:space="preserve"> prosi Shuntera, aby po prostu zabrał naczepę ze stanowiska i zostawił ją nieaktywną i dostępną, bez konkretnego stanowiska docelowego.</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8. Dekit</w:t>
      </w:r>
    </w:p>
    <w:p>
      <w:pPr>
        <w:spacing w:after="200" w:line="300"/>
      </w:pPr>
      <w:r>
        <w:rPr>
          <w:rFonts w:ascii="Calibri" w:cs="Calibri" w:eastAsia="Calibri" w:hAnsi="Calibri"/>
          <w:color w:val="1F2937"/>
          <w:sz w:val="22"/>
          <w:szCs w:val="22"/>
        </w:rPr>
        <w:t xml:space="preserve">Dekit opróżnia naczepy, które wróciły z trasy ze starymi opakowaniami (Dekit) lub niesprzedanymi zwrotami ze sklepów (Return delivery), aby mogły wrócić do ogólnego użytku.</w:t>
      </w:r>
    </w:p>
    <w:p>
      <w:pPr>
        <w:pStyle w:val="Heading2"/>
        <w:spacing w:after="160" w:before="360"/>
      </w:pPr>
      <w:r>
        <w:rPr>
          <w:rFonts w:ascii="Calibri" w:cs="Calibri" w:eastAsia="Calibri" w:hAnsi="Calibri"/>
          <w:b/>
          <w:bCs/>
          <w:color w:val="1F2937"/>
          <w:sz w:val="27"/>
          <w:szCs w:val="27"/>
        </w:rPr>
        <w:t xml:space="preserve">8.1 Dostępne naczepy</w:t>
      </w:r>
    </w:p>
    <w:p>
      <w:pPr>
        <w:spacing w:after="200" w:line="300"/>
      </w:pPr>
      <w:r>
        <w:rPr>
          <w:rFonts w:ascii="Calibri" w:cs="Calibri" w:eastAsia="Calibri" w:hAnsi="Calibri"/>
          <w:color w:val="1F2937"/>
          <w:sz w:val="22"/>
          <w:szCs w:val="22"/>
        </w:rPr>
        <w:t xml:space="preserve">Własna lista Dekit pokazuje tylko to, co naprawdę należy do Dekit, w takiej kolejności:</w:t>
      </w:r>
    </w:p>
    <w:p>
      <w:pPr>
        <w:pStyle w:val="ListParagraph"/>
        <w:numPr>
          <w:ilvl w:val="0"/>
          <w:numId w:val="10"/>
        </w:numPr>
        <w:spacing w:after="180" w:line="290"/>
      </w:pPr>
      <w:r>
        <w:rPr>
          <w:rFonts w:ascii="Calibri" w:cs="Calibri" w:eastAsia="Calibri" w:hAnsi="Calibri"/>
          <w:color w:val="1F2937"/>
          <w:sz w:val="22"/>
          <w:szCs w:val="22"/>
        </w:rPr>
        <w:t xml:space="preserve">Dekit</w:t>
      </w:r>
    </w:p>
    <w:p>
      <w:pPr>
        <w:pStyle w:val="ListParagraph"/>
        <w:numPr>
          <w:ilvl w:val="0"/>
          <w:numId w:val="10"/>
        </w:numPr>
        <w:spacing w:after="180" w:line="290"/>
      </w:pPr>
      <w:r>
        <w:rPr>
          <w:rFonts w:ascii="Calibri" w:cs="Calibri" w:eastAsia="Calibri" w:hAnsi="Calibri"/>
          <w:color w:val="1F2937"/>
          <w:sz w:val="22"/>
          <w:szCs w:val="22"/>
        </w:rPr>
        <w:t xml:space="preserve">Return delivery</w:t>
      </w:r>
    </w:p>
    <w:p>
      <w:pPr>
        <w:pStyle w:val="ListParagraph"/>
        <w:numPr>
          <w:ilvl w:val="0"/>
          <w:numId w:val="10"/>
        </w:numPr>
        <w:spacing w:after="180" w:line="290"/>
      </w:pPr>
      <w:r>
        <w:rPr>
          <w:rFonts w:ascii="Calibri" w:cs="Calibri" w:eastAsia="Calibri" w:hAnsi="Calibri"/>
          <w:color w:val="1F2937"/>
          <w:sz w:val="22"/>
          <w:szCs w:val="22"/>
        </w:rPr>
        <w:t xml:space="preserve">Empty</w:t>
      </w:r>
    </w:p>
    <w:p>
      <w:pPr>
        <w:spacing w:after="200" w:line="300"/>
      </w:pPr>
      <w:r>
        <w:rPr>
          <w:rFonts w:ascii="Calibri" w:cs="Calibri" w:eastAsia="Calibri" w:hAnsi="Calibri"/>
          <w:color w:val="1F2937"/>
          <w:sz w:val="22"/>
          <w:szCs w:val="22"/>
        </w:rPr>
        <w:t xml:space="preserve">Puste naczepy też się tu pojawiają — nie dlatego, że wymagają obsługi Dekit, lecz aby Dekit mógł załadować jedną opakowaniami lub paletami do przekazania do innej lokalizacji, korzystając z tych samych stanowisk. Naczepy, które nadal wiozą prawdziwy niedostarczony ładunek (Frozen/Chill/Ambient/Xdock), nigdy nie pojawiają się na tym ekranie — to odpowiedzialność Loader (rozdział 7).</w:t>
      </w:r>
    </w:p>
    <w:p>
      <w:pPr>
        <w:pStyle w:val="Heading2"/>
        <w:spacing w:after="160" w:before="360"/>
      </w:pPr>
      <w:r>
        <w:rPr>
          <w:rFonts w:ascii="Calibri" w:cs="Calibri" w:eastAsia="Calibri" w:hAnsi="Calibri"/>
          <w:b/>
          <w:bCs/>
          <w:color w:val="1F2937"/>
          <w:sz w:val="27"/>
          <w:szCs w:val="27"/>
        </w:rPr>
        <w:t xml:space="preserve">8.2 Obsługa naczepy</w:t>
      </w:r>
    </w:p>
    <w:p>
      <w:pPr>
        <w:spacing w:after="200" w:line="300"/>
      </w:pPr>
      <w:r>
        <w:rPr>
          <w:rFonts w:ascii="Calibri" w:cs="Calibri" w:eastAsia="Calibri" w:hAnsi="Calibri"/>
          <w:color w:val="1F2937"/>
          <w:sz w:val="22"/>
          <w:szCs w:val="22"/>
        </w:rPr>
        <w:t xml:space="preserve">Przeciągnij naczepę na stanowisko Dekit, tak jak Loader przypisuje stanowisko załadunku. Po fizycznym opróżnieniu kliknij Complete — usuwa to jej znacznik ładunku, ale zostawia ją na stanowisku. Potem to Loader decyduje, co się z nią stanie: użyć jej od razu (Move To) albo kazać Shunterowi zaparkować ją jako nieaktywną i dostępną (zobacz 7.3).</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9. Shunter</w:t>
      </w:r>
    </w:p>
    <w:p>
      <w:pPr>
        <w:spacing w:after="200" w:line="300"/>
      </w:pPr>
      <w:r>
        <w:rPr>
          <w:rFonts w:ascii="Calibri" w:cs="Calibri" w:eastAsia="Calibri" w:hAnsi="Calibri"/>
          <w:color w:val="1F2937"/>
          <w:sz w:val="22"/>
          <w:szCs w:val="22"/>
        </w:rPr>
        <w:t xml:space="preserve">Shunter działa na tablecie zamontowanym w kabinie ciągnika manewrowego i pokazuje mapę bazy Twojej lokalizacji na żywo.</w:t>
      </w:r>
    </w:p>
    <w:p>
      <w:pPr>
        <w:pStyle w:val="Heading2"/>
        <w:spacing w:after="160" w:before="360"/>
      </w:pPr>
      <w:r>
        <w:rPr>
          <w:rFonts w:ascii="Calibri" w:cs="Calibri" w:eastAsia="Calibri" w:hAnsi="Calibri"/>
          <w:b/>
          <w:bCs/>
          <w:color w:val="1F2937"/>
          <w:sz w:val="27"/>
          <w:szCs w:val="27"/>
        </w:rPr>
        <w:t xml:space="preserve">9.1 Dokowanie naczepy</w:t>
      </w:r>
    </w:p>
    <w:p>
      <w:pPr>
        <w:spacing w:after="200" w:line="300"/>
      </w:pPr>
      <w:r>
        <w:rPr>
          <w:rFonts w:ascii="Calibri" w:cs="Calibri" w:eastAsia="Calibri" w:hAnsi="Calibri"/>
          <w:color w:val="1F2937"/>
          <w:sz w:val="22"/>
          <w:szCs w:val="22"/>
        </w:rPr>
        <w:t xml:space="preserve">Gdy naczepa została przypisana do stanowiska (przez Loader, Dekit lub automatycznie przez przypisanie), jej kafelek pokazuje Docked — dotknij go po fizycznym postawieniu naczepy na tym stanowisku, aby to potwierdzić.</w:t>
      </w:r>
    </w:p>
    <w:p>
      <w:pPr>
        <w:pStyle w:val="Heading2"/>
        <w:spacing w:after="160" w:before="360"/>
      </w:pPr>
      <w:r>
        <w:rPr>
          <w:rFonts w:ascii="Calibri" w:cs="Calibri" w:eastAsia="Calibri" w:hAnsi="Calibri"/>
          <w:b/>
          <w:bCs/>
          <w:color w:val="1F2937"/>
          <w:sz w:val="27"/>
          <w:szCs w:val="27"/>
        </w:rPr>
        <w:t xml:space="preserve">9.2 Odbiór do wysyłki</w:t>
      </w:r>
    </w:p>
    <w:p>
      <w:pPr>
        <w:spacing w:after="200" w:line="300"/>
      </w:pPr>
      <w:r>
        <w:rPr>
          <w:rFonts w:ascii="Calibri" w:cs="Calibri" w:eastAsia="Calibri" w:hAnsi="Calibri"/>
          <w:color w:val="1F2937"/>
          <w:sz w:val="22"/>
          <w:szCs w:val="22"/>
        </w:rPr>
        <w:t xml:space="preserve">Gdy naczepa jest Loaded i przypisano do niej kierowcę (zobacz rozdział 10), jej kafelek oferuje Collect for dispatch — dotknij go po zaczepieniu naczepy i ruszeniu w stronę bramy.</w:t>
      </w:r>
    </w:p>
    <w:p>
      <w:pPr>
        <w:pStyle w:val="Heading2"/>
        <w:spacing w:after="160" w:before="360"/>
      </w:pPr>
      <w:r>
        <w:rPr>
          <w:rFonts w:ascii="Calibri" w:cs="Calibri" w:eastAsia="Calibri" w:hAnsi="Calibri"/>
          <w:b/>
          <w:bCs/>
          <w:color w:val="1F2937"/>
          <w:sz w:val="27"/>
          <w:szCs w:val="27"/>
        </w:rPr>
        <w:t xml:space="preserve">9.3 Pending Moves</w:t>
      </w:r>
    </w:p>
    <w:p>
      <w:pPr>
        <w:spacing w:after="200" w:line="300"/>
      </w:pPr>
      <w:r>
        <w:rPr>
          <w:rFonts w:ascii="Calibri" w:cs="Calibri" w:eastAsia="Calibri" w:hAnsi="Calibri"/>
          <w:color w:val="1F2937"/>
          <w:sz w:val="22"/>
          <w:szCs w:val="22"/>
        </w:rPr>
        <w:t xml:space="preserve">Każde żądanie Move To lub Park up z Loader lub Dekit pojawia się w tabeli Pending Moves pod mapą, z naczepą, jej stanowiskiem źródłowym i celem — lub „Park up (leave idle/available)”, jeśli w ogóle nie ma stanowiska docelowego. Zakończ je przyciskiem Complete po faktycznym wykonaniu przestawienia albo anuluj przyciskiem Cancel, jeśli nie jest już potrzebne.</w:t>
      </w:r>
    </w:p>
    <w:p>
      <w:pPr>
        <w:pStyle w:val="Heading2"/>
        <w:spacing w:after="160" w:before="360"/>
      </w:pPr>
      <w:r>
        <w:rPr>
          <w:rFonts w:ascii="Calibri" w:cs="Calibri" w:eastAsia="Calibri" w:hAnsi="Calibri"/>
          <w:b/>
          <w:bCs/>
          <w:color w:val="1F2937"/>
          <w:sz w:val="27"/>
          <w:szCs w:val="27"/>
        </w:rPr>
        <w:t xml:space="preserve">9.4 Anulowanie przypisania Dekit</w:t>
      </w:r>
    </w:p>
    <w:p>
      <w:pPr>
        <w:spacing w:after="200" w:line="300"/>
      </w:pPr>
      <w:r>
        <w:rPr>
          <w:rFonts w:ascii="Calibri" w:cs="Calibri" w:eastAsia="Calibri" w:hAnsi="Calibri"/>
          <w:color w:val="1F2937"/>
          <w:sz w:val="22"/>
          <w:szCs w:val="22"/>
        </w:rPr>
        <w:t xml:space="preserve">Naczepę przypisaną do stanowiska Dekit, ale jeszcze niezadokowaną (Docked), można anulować bezpośrednio z jej kafelka, co ponownie zwalnia stanowisko.</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10. Dispatch</w:t>
      </w:r>
    </w:p>
    <w:p>
      <w:pPr>
        <w:spacing w:after="200" w:line="300"/>
      </w:pPr>
      <w:r>
        <w:rPr>
          <w:rFonts w:ascii="Calibri" w:cs="Calibri" w:eastAsia="Calibri" w:hAnsi="Calibri"/>
          <w:color w:val="1F2937"/>
          <w:sz w:val="22"/>
          <w:szCs w:val="22"/>
        </w:rPr>
        <w:t xml:space="preserve">Dispatch przypisuje kierowcę i ciągnik do trasy po zakończeniu załadunku.</w:t>
      </w:r>
    </w:p>
    <w:p>
      <w:pPr>
        <w:pStyle w:val="Heading2"/>
        <w:spacing w:after="160" w:before="360"/>
      </w:pPr>
      <w:r>
        <w:rPr>
          <w:rFonts w:ascii="Calibri" w:cs="Calibri" w:eastAsia="Calibri" w:hAnsi="Calibri"/>
          <w:b/>
          <w:bCs/>
          <w:color w:val="1F2937"/>
          <w:sz w:val="27"/>
          <w:szCs w:val="27"/>
        </w:rPr>
        <w:t xml:space="preserve">10.1 Przypisywanie kierowcy i ciągnika</w:t>
      </w:r>
    </w:p>
    <w:p>
      <w:pPr>
        <w:spacing w:after="200" w:line="300"/>
      </w:pPr>
      <w:r>
        <w:rPr>
          <w:rFonts w:ascii="Calibri" w:cs="Calibri" w:eastAsia="Calibri" w:hAnsi="Calibri"/>
          <w:color w:val="1F2937"/>
          <w:sz w:val="22"/>
          <w:szCs w:val="22"/>
        </w:rPr>
        <w:t xml:space="preserve">Ciągnik można przypisać samodzielnie, z wyprzedzeniem, jeśli już wiesz, który jedzie na trasę. Kierowcy natomiast nigdy nie można przypisać bez ciągnika — jeśli naczepa jeszcze go nie ma, musisz wybrać ciągnik jednocześnie z wpisaniem imienia i nazwiska kierowcy. To celowe: ekran bramy w Security odmawia wyjazdu każdej naczepy z kierowcą, ale bez ciągnika, więc dzięki temu wychodzi to przy biurku, a nie dopiero przy bramie.</w:t>
      </w:r>
    </w:p>
    <w:p>
      <w:pPr>
        <w:pStyle w:val="Heading2"/>
        <w:spacing w:after="160" w:before="360"/>
      </w:pPr>
      <w:r>
        <w:rPr>
          <w:rFonts w:ascii="Calibri" w:cs="Calibri" w:eastAsia="Calibri" w:hAnsi="Calibri"/>
          <w:b/>
          <w:bCs/>
          <w:color w:val="1F2937"/>
          <w:sz w:val="27"/>
          <w:szCs w:val="27"/>
        </w:rPr>
        <w:t xml:space="preserve">10.2 Przypisany kierowca — ostatnie 24 godziny</w:t>
      </w:r>
    </w:p>
    <w:p>
      <w:pPr>
        <w:spacing w:after="200" w:line="300"/>
      </w:pPr>
      <w:r>
        <w:rPr>
          <w:rFonts w:ascii="Calibri" w:cs="Calibri" w:eastAsia="Calibri" w:hAnsi="Calibri"/>
          <w:color w:val="1F2937"/>
          <w:sz w:val="22"/>
          <w:szCs w:val="22"/>
        </w:rPr>
        <w:t xml:space="preserve">Pod listą przypisań znajduje się przesuwane 24-godzinne okno z niedawnymi przypisaniami — naczepa, trasa, kierowca, ciągnik i czas przypisania — abyś widział, co Dispatch ostatnio robił, bez nieograniczonego rozrastania się listy.</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11. Security</w:t>
      </w:r>
    </w:p>
    <w:p>
      <w:pPr>
        <w:spacing w:after="200" w:line="300"/>
      </w:pPr>
      <w:r>
        <w:rPr>
          <w:rFonts w:ascii="Calibri" w:cs="Calibri" w:eastAsia="Calibri" w:hAnsi="Calibri"/>
          <w:color w:val="1F2937"/>
          <w:sz w:val="22"/>
          <w:szCs w:val="22"/>
        </w:rPr>
        <w:t xml:space="preserve">Security rejestruje każdą naczepę przejeżdżającą przez bramę, w obu kierunkach, z komputera w portierni.</w:t>
      </w:r>
    </w:p>
    <w:p>
      <w:pPr>
        <w:pStyle w:val="Heading2"/>
        <w:spacing w:after="160" w:before="360"/>
      </w:pPr>
      <w:r>
        <w:rPr>
          <w:rFonts w:ascii="Calibri" w:cs="Calibri" w:eastAsia="Calibri" w:hAnsi="Calibri"/>
          <w:b/>
          <w:bCs/>
          <w:color w:val="1F2937"/>
          <w:sz w:val="27"/>
          <w:szCs w:val="27"/>
        </w:rPr>
        <w:t xml:space="preserve">11.1 Wyjazd</w:t>
      </w:r>
    </w:p>
    <w:p>
      <w:pPr>
        <w:spacing w:after="200" w:line="300"/>
      </w:pPr>
      <w:r>
        <w:rPr>
          <w:rFonts w:ascii="Calibri" w:cs="Calibri" w:eastAsia="Calibri" w:hAnsi="Calibri"/>
          <w:color w:val="1F2937"/>
          <w:sz w:val="22"/>
          <w:szCs w:val="22"/>
        </w:rPr>
        <w:t xml:space="preserve">Wybierz zakończony, przypisany ładunek z listy „Ready for dispatch” — automatycznie pokazuje to naczepę, kierowcę i ciągnik dla tego ładunku, abyś mógł wzrokowo potwierdzić, że to właściwy, zanim zarejestrujesz wyjazd. Pole Trailer Number wypełnia się z Twojego wyboru, ale pozostaje w pełni edytowalne, jeśli trzeba je poprawić.</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Security nie będzie mogło zarejestrować wyjazdu  </w:t>
      </w:r>
      <w:r>
        <w:rPr>
          <w:rFonts w:ascii="Calibri" w:cs="Calibri" w:eastAsia="Calibri" w:hAnsi="Calibri"/>
          <w:color w:val="4B5563"/>
          <w:sz w:val="22"/>
          <w:szCs w:val="22"/>
        </w:rPr>
        <w:t xml:space="preserve"> naczepy, która ma kierowcę, ale nie ma przypisanego ciągnika — najpierw musi to naprawić Dispatch.</w:t>
      </w:r>
    </w:p>
    <w:p>
      <w:pPr>
        <w:pStyle w:val="Heading2"/>
        <w:spacing w:after="160" w:before="360"/>
      </w:pPr>
      <w:r>
        <w:rPr>
          <w:rFonts w:ascii="Calibri" w:cs="Calibri" w:eastAsia="Calibri" w:hAnsi="Calibri"/>
          <w:b/>
          <w:bCs/>
          <w:color w:val="1F2937"/>
          <w:sz w:val="27"/>
          <w:szCs w:val="27"/>
        </w:rPr>
        <w:t xml:space="preserve">11.2 Wjazd</w:t>
      </w:r>
    </w:p>
    <w:p>
      <w:pPr>
        <w:spacing w:after="200" w:line="300"/>
      </w:pPr>
      <w:r>
        <w:rPr>
          <w:rFonts w:ascii="Calibri" w:cs="Calibri" w:eastAsia="Calibri" w:hAnsi="Calibri"/>
          <w:color w:val="1F2937"/>
          <w:sz w:val="22"/>
          <w:szCs w:val="22"/>
        </w:rPr>
        <w:t xml:space="preserve">Wybierz z listy „Expected back” lub wpisz numer naczepy bezpośrednio, jeśli kierowca zamienił naczepę w trasie i ta, która fizycznie przyjechała, nie zgadza się z oczekiwaną — pole nigdy nie jest ograniczone do listy.</w:t>
      </w:r>
    </w:p>
    <w:p>
      <w:pPr>
        <w:spacing w:after="200" w:line="300"/>
      </w:pPr>
      <w:r>
        <w:rPr>
          <w:rFonts w:ascii="Calibri" w:cs="Calibri" w:eastAsia="Calibri" w:hAnsi="Calibri"/>
          <w:color w:val="1F2937"/>
          <w:sz w:val="22"/>
          <w:szCs w:val="22"/>
        </w:rPr>
        <w:t xml:space="preserve">Zaznacz typy ładunku opisujące to, co wraca na naczepie (Dekit, Shop return, Frozen, Chill, Ambient, Xdock lub Empty) — to one kierują ją na ekran Dekit, ekran Loader albo wprost z powrotem do ogólnego użytku.</w:t>
      </w:r>
    </w:p>
    <w:p>
      <w:pPr>
        <w:pStyle w:val="Heading2"/>
        <w:spacing w:after="160" w:before="360"/>
      </w:pPr>
      <w:r>
        <w:rPr>
          <w:rFonts w:ascii="Calibri" w:cs="Calibri" w:eastAsia="Calibri" w:hAnsi="Calibri"/>
          <w:b/>
          <w:bCs/>
          <w:color w:val="1F2937"/>
          <w:sz w:val="27"/>
          <w:szCs w:val="27"/>
        </w:rPr>
        <w:t xml:space="preserve">11.3 Przewoźnik</w:t>
      </w:r>
    </w:p>
    <w:p>
      <w:pPr>
        <w:spacing w:after="200" w:line="300"/>
      </w:pPr>
      <w:r>
        <w:rPr>
          <w:rFonts w:ascii="Calibri" w:cs="Calibri" w:eastAsia="Calibri" w:hAnsi="Calibri"/>
          <w:color w:val="1F2937"/>
          <w:sz w:val="22"/>
          <w:szCs w:val="22"/>
        </w:rPr>
        <w:t xml:space="preserve">Pole Haulier wypełnia się wstępnie z Default Haulier lokalizacji (ustawianego przez Admin — zobacz 5.2) w obu kierunkach, ale zawsze jest zwykłym polem tekstowym, które możesz nadpisać dla konkretnego ładunku.</w:t>
      </w:r>
    </w:p>
    <w:p>
      <w:pPr>
        <w:pStyle w:val="Heading2"/>
        <w:spacing w:after="160" w:before="360"/>
      </w:pPr>
      <w:r>
        <w:rPr>
          <w:rFonts w:ascii="Calibri" w:cs="Calibri" w:eastAsia="Calibri" w:hAnsi="Calibri"/>
          <w:b/>
          <w:bCs/>
          <w:color w:val="1F2937"/>
          <w:sz w:val="27"/>
          <w:szCs w:val="27"/>
        </w:rPr>
        <w:t xml:space="preserve">11.4 Historia bramy</w:t>
      </w:r>
    </w:p>
    <w:p>
      <w:pPr>
        <w:spacing w:after="200" w:line="300"/>
      </w:pPr>
      <w:r>
        <w:rPr>
          <w:rFonts w:ascii="Calibri" w:cs="Calibri" w:eastAsia="Calibri" w:hAnsi="Calibri"/>
          <w:color w:val="1F2937"/>
          <w:sz w:val="22"/>
          <w:szCs w:val="22"/>
        </w:rPr>
        <w:t xml:space="preserve">Ciągły dziennik każdego zdarzenia przy bramie w Twojej lokalizacji, od najnowszych, do wglądu, gdyby później pojawiło się pytanie.</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12. Fleet</w:t>
      </w:r>
    </w:p>
    <w:p>
      <w:pPr>
        <w:spacing w:after="200" w:line="300"/>
      </w:pPr>
      <w:r>
        <w:rPr>
          <w:rFonts w:ascii="Calibri" w:cs="Calibri" w:eastAsia="Calibri" w:hAnsi="Calibri"/>
          <w:color w:val="1F2937"/>
          <w:sz w:val="22"/>
          <w:szCs w:val="22"/>
        </w:rPr>
        <w:t xml:space="preserve">Fleet prowadzi pulę ciągników i naczep dostępnych we wszystkich lokalizacjach — w przeciwieństwie do większości ról widok Fleet nie jest ograniczony do jednej lokalizacji.</w:t>
      </w:r>
    </w:p>
    <w:p>
      <w:pPr>
        <w:pStyle w:val="Heading2"/>
        <w:spacing w:after="160" w:before="360"/>
      </w:pPr>
      <w:r>
        <w:rPr>
          <w:rFonts w:ascii="Calibri" w:cs="Calibri" w:eastAsia="Calibri" w:hAnsi="Calibri"/>
          <w:b/>
          <w:bCs/>
          <w:color w:val="1F2937"/>
          <w:sz w:val="27"/>
          <w:szCs w:val="27"/>
        </w:rPr>
        <w:t xml:space="preserve">12.1 Naczepy</w:t>
      </w:r>
    </w:p>
    <w:p>
      <w:pPr>
        <w:spacing w:after="200" w:line="300"/>
      </w:pPr>
      <w:r>
        <w:rPr>
          <w:rFonts w:ascii="Calibri" w:cs="Calibri" w:eastAsia="Calibri" w:hAnsi="Calibri"/>
          <w:color w:val="1F2937"/>
          <w:sz w:val="22"/>
          <w:szCs w:val="22"/>
        </w:rPr>
        <w:t xml:space="preserve">Przeszukuj pełną listę naczep, dodaj nową naczepę do puli, usuń jedną na stałe lub oznacz jedną jako VOR (pojazd wyłączony z ruchu).</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Oznaczanie naczepy jako VOR.  </w:t>
      </w:r>
      <w:r>
        <w:rPr>
          <w:rFonts w:ascii="Calibri" w:cs="Calibri" w:eastAsia="Calibri" w:hAnsi="Calibri"/>
          <w:color w:val="4B5563"/>
          <w:sz w:val="22"/>
          <w:szCs w:val="22"/>
        </w:rPr>
        <w:t xml:space="preserve"> Jeśli stoi wolna w bazie, VMU wstrzymuje ją natychmiast; jeśli jest na trasie, zostaje wstrzymana automatycznie po następnym powrocie do lokalizacji. W obu przypadkach tylko VMU może ją ponownie zwolnić (rozdział 13).</w:t>
      </w:r>
    </w:p>
    <w:p>
      <w:pPr>
        <w:pStyle w:val="Heading2"/>
        <w:spacing w:after="160" w:before="360"/>
      </w:pPr>
      <w:r>
        <w:rPr>
          <w:rFonts w:ascii="Calibri" w:cs="Calibri" w:eastAsia="Calibri" w:hAnsi="Calibri"/>
          <w:b/>
          <w:bCs/>
          <w:color w:val="1F2937"/>
          <w:sz w:val="27"/>
          <w:szCs w:val="27"/>
        </w:rPr>
        <w:t xml:space="preserve">12.2 Ciągniki</w:t>
      </w:r>
    </w:p>
    <w:p>
      <w:pPr>
        <w:spacing w:after="200" w:line="300"/>
      </w:pPr>
      <w:r>
        <w:rPr>
          <w:rFonts w:ascii="Calibri" w:cs="Calibri" w:eastAsia="Calibri" w:hAnsi="Calibri"/>
          <w:color w:val="1F2937"/>
          <w:sz w:val="22"/>
          <w:szCs w:val="22"/>
        </w:rPr>
        <w:t xml:space="preserve">Ten sam schemat co przy naczepach: dodawanie, usuwanie i oznaczanie jako VOR z opcjonalnym powodem. Ciągnik oznaczony VOR wyświetla się jako „Held by VMU”, dopóki nie zostanie zwolniony.</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13. VMU</w:t>
      </w:r>
    </w:p>
    <w:p>
      <w:pPr>
        <w:spacing w:after="200" w:line="300"/>
      </w:pPr>
      <w:r>
        <w:rPr>
          <w:rFonts w:ascii="Calibri" w:cs="Calibri" w:eastAsia="Calibri" w:hAnsi="Calibri"/>
          <w:color w:val="1F2937"/>
          <w:sz w:val="22"/>
          <w:szCs w:val="22"/>
        </w:rPr>
        <w:t xml:space="preserve">VMU (Vehicle Maintenance Unit) to miejsce, w którym naczepy i ciągniki oznaczone przez Fleet jako VOR są wstrzymywane, aż będą zdatne do powrotu do użytku.</w:t>
      </w:r>
    </w:p>
    <w:p>
      <w:pPr>
        <w:pStyle w:val="Heading2"/>
        <w:spacing w:after="160" w:before="360"/>
      </w:pPr>
      <w:r>
        <w:rPr>
          <w:rFonts w:ascii="Calibri" w:cs="Calibri" w:eastAsia="Calibri" w:hAnsi="Calibri"/>
          <w:b/>
          <w:bCs/>
          <w:color w:val="1F2937"/>
          <w:sz w:val="27"/>
          <w:szCs w:val="27"/>
        </w:rPr>
        <w:t xml:space="preserve">13.1 Wstrzymane naczepy</w:t>
      </w:r>
    </w:p>
    <w:p>
      <w:pPr>
        <w:spacing w:after="200" w:line="300"/>
      </w:pPr>
      <w:r>
        <w:rPr>
          <w:rFonts w:ascii="Calibri" w:cs="Calibri" w:eastAsia="Calibri" w:hAnsi="Calibri"/>
          <w:color w:val="1F2937"/>
          <w:sz w:val="22"/>
          <w:szCs w:val="22"/>
        </w:rPr>
        <w:t xml:space="preserve">Każda naczepa aktualnie wstrzymana przez VMU, ze wszystkich lokalizacji, z jej typem i ostatnią trasą. Release natychmiast przywraca ją do dostępnej puli.</w:t>
      </w:r>
    </w:p>
    <w:p>
      <w:pPr>
        <w:pStyle w:val="Heading2"/>
        <w:spacing w:after="160" w:before="360"/>
      </w:pPr>
      <w:r>
        <w:rPr>
          <w:rFonts w:ascii="Calibri" w:cs="Calibri" w:eastAsia="Calibri" w:hAnsi="Calibri"/>
          <w:b/>
          <w:bCs/>
          <w:color w:val="1F2937"/>
          <w:sz w:val="27"/>
          <w:szCs w:val="27"/>
        </w:rPr>
        <w:t xml:space="preserve">13.2 Wstrzymane ciągniki</w:t>
      </w:r>
    </w:p>
    <w:p>
      <w:pPr>
        <w:spacing w:after="200" w:line="300"/>
      </w:pPr>
      <w:r>
        <w:rPr>
          <w:rFonts w:ascii="Calibri" w:cs="Calibri" w:eastAsia="Calibri" w:hAnsi="Calibri"/>
          <w:color w:val="1F2937"/>
          <w:sz w:val="22"/>
          <w:szCs w:val="22"/>
        </w:rPr>
        <w:t xml:space="preserve">Każdy ciągnik VOR, z powodem podanym przez Fleet przy oznaczaniu. Release zwraca go na listę dostępnych w Dispatch.</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14. Rozwiązywanie problemów</w:t>
      </w:r>
    </w:p>
    <w:p>
      <w:pPr>
        <w:pStyle w:val="Heading2"/>
        <w:spacing w:after="160" w:before="360"/>
      </w:pPr>
      <w:r>
        <w:rPr>
          <w:rFonts w:ascii="Calibri" w:cs="Calibri" w:eastAsia="Calibri" w:hAnsi="Calibri"/>
          <w:b/>
          <w:bCs/>
          <w:color w:val="1F2937"/>
          <w:sz w:val="27"/>
          <w:szCs w:val="27"/>
        </w:rPr>
        <w:t xml:space="preserve">14.1 „This file is in use” po odinstalowaniu</w:t>
      </w:r>
    </w:p>
    <w:p>
      <w:pPr>
        <w:spacing w:after="200" w:line="300"/>
      </w:pPr>
      <w:r>
        <w:rPr>
          <w:rFonts w:ascii="Calibri" w:cs="Calibri" w:eastAsia="Calibri" w:hAnsi="Calibri"/>
          <w:color w:val="1F2937"/>
          <w:sz w:val="22"/>
          <w:szCs w:val="22"/>
        </w:rPr>
        <w:t xml:space="preserve">TASc6 zwykle działa bez widocznego okna — steruje nim ikona w obszarze powiadomień, a nie program na pasku zadań. Windows może jednak trzymać otwarty plik z powodu kopii Node.js działającej w tle, najczęściej gdy TASc6 uruchomiono ze skrótu „Troubleshooting (console window)” lub pozostawiono uruchomiony przed ponowną instalacją.</w:t>
      </w:r>
    </w:p>
    <w:p>
      <w:pPr>
        <w:pStyle w:val="ListParagraph"/>
        <w:numPr>
          <w:ilvl w:val="0"/>
          <w:numId w:val="11"/>
        </w:numPr>
        <w:spacing w:after="180" w:line="290"/>
      </w:pPr>
      <w:r>
        <w:rPr>
          <w:rFonts w:ascii="Calibri" w:cs="Calibri" w:eastAsia="Calibri" w:hAnsi="Calibri"/>
          <w:color w:val="1F2937"/>
          <w:sz w:val="22"/>
          <w:szCs w:val="22"/>
        </w:rPr>
        <w:t xml:space="preserve">Otwórz Menedżera zadań (Ctrl+Shift+Esc) i kliknij kartę Szczegóły.</w:t>
      </w:r>
    </w:p>
    <w:p>
      <w:pPr>
        <w:pStyle w:val="ListParagraph"/>
        <w:numPr>
          <w:ilvl w:val="0"/>
          <w:numId w:val="11"/>
        </w:numPr>
        <w:spacing w:after="180" w:line="290"/>
      </w:pPr>
      <w:r>
        <w:rPr>
          <w:rFonts w:ascii="Calibri" w:cs="Calibri" w:eastAsia="Calibri" w:hAnsi="Calibri"/>
          <w:color w:val="1F2937"/>
          <w:sz w:val="22"/>
          <w:szCs w:val="22"/>
        </w:rPr>
        <w:t xml:space="preserve">Kliknij prawym przyciskiem nagłówki kolumn, wybierz Wybierz kolumny i zaznacz Wiersz polecenia.</w:t>
      </w:r>
    </w:p>
    <w:p>
      <w:pPr>
        <w:pStyle w:val="ListParagraph"/>
        <w:numPr>
          <w:ilvl w:val="0"/>
          <w:numId w:val="11"/>
        </w:numPr>
        <w:spacing w:after="180" w:line="290"/>
      </w:pPr>
      <w:r>
        <w:rPr>
          <w:rFonts w:ascii="Calibri" w:cs="Calibri" w:eastAsia="Calibri" w:hAnsi="Calibri"/>
          <w:color w:val="1F2937"/>
          <w:sz w:val="22"/>
          <w:szCs w:val="22"/>
        </w:rPr>
        <w:t xml:space="preserve">Posortuj według Nazwy i poszukaj node.exe — kolumna Wiersz polecenia wspomni server.js lub folder instalacji TASc6.</w:t>
      </w:r>
    </w:p>
    <w:p>
      <w:pPr>
        <w:pStyle w:val="ListParagraph"/>
        <w:numPr>
          <w:ilvl w:val="0"/>
          <w:numId w:val="11"/>
        </w:numPr>
        <w:spacing w:after="180" w:line="290"/>
      </w:pPr>
      <w:r>
        <w:rPr>
          <w:rFonts w:ascii="Calibri" w:cs="Calibri" w:eastAsia="Calibri" w:hAnsi="Calibri"/>
          <w:color w:val="1F2937"/>
          <w:sz w:val="22"/>
          <w:szCs w:val="22"/>
        </w:rPr>
        <w:t xml:space="preserve">Kliknij go prawym przyciskiem i wybierz Zakończ zadanie.</w:t>
      </w:r>
    </w:p>
    <w:p>
      <w:pPr>
        <w:pStyle w:val="ListParagraph"/>
        <w:numPr>
          <w:ilvl w:val="0"/>
          <w:numId w:val="11"/>
        </w:numPr>
        <w:spacing w:after="180" w:line="290"/>
      </w:pPr>
      <w:r>
        <w:rPr>
          <w:rFonts w:ascii="Calibri" w:cs="Calibri" w:eastAsia="Calibri" w:hAnsi="Calibri"/>
          <w:color w:val="1F2937"/>
          <w:sz w:val="22"/>
          <w:szCs w:val="22"/>
        </w:rPr>
        <w:t xml:space="preserve">Sprawdź też pasek zadań pod kątem czarnego okna konsoli i zamknij je, jeśli je znajdziesz.</w:t>
      </w:r>
    </w:p>
    <w:p>
      <w:pPr>
        <w:pStyle w:val="Heading2"/>
        <w:spacing w:after="160" w:before="360"/>
      </w:pPr>
      <w:r>
        <w:rPr>
          <w:rFonts w:ascii="Calibri" w:cs="Calibri" w:eastAsia="Calibri" w:hAnsi="Calibri"/>
          <w:b/>
          <w:bCs/>
          <w:color w:val="1F2937"/>
          <w:sz w:val="27"/>
          <w:szCs w:val="27"/>
        </w:rPr>
        <w:t xml:space="preserve">14.2 Ikona pokazuje Stopped, choć TASc6 ewidentnie działa</w:t>
      </w:r>
    </w:p>
    <w:p>
      <w:pPr>
        <w:spacing w:after="200" w:line="300"/>
      </w:pPr>
      <w:r>
        <w:rPr>
          <w:rFonts w:ascii="Calibri" w:cs="Calibri" w:eastAsia="Calibri" w:hAnsi="Calibri"/>
          <w:color w:val="1F2937"/>
          <w:sz w:val="22"/>
          <w:szCs w:val="22"/>
        </w:rPr>
        <w:t xml:space="preserve">Kliknij ikonę prawym przyciskiem i wybierz Start. Jeśli TASc6 faktycznie już działa (na przykład uruchomiony ze skrótu konsoli zamiast z obszaru powiadomień), wykryje to i nie uruchomi drugiej kopii — próba jest bezpieczna. Jeśli stan nadal wygląda błędnie, uruchom ponownie samą ikonę: kliknij prawym → Exit, a następnie otwórz TASc6 ponownie z menu Start.</w:t>
      </w:r>
    </w:p>
    <w:p>
      <w:pPr>
        <w:pStyle w:val="Heading2"/>
        <w:spacing w:after="160" w:before="360"/>
      </w:pPr>
      <w:r>
        <w:rPr>
          <w:rFonts w:ascii="Calibri" w:cs="Calibri" w:eastAsia="Calibri" w:hAnsi="Calibri"/>
          <w:b/>
          <w:bCs/>
          <w:color w:val="1F2937"/>
          <w:sz w:val="27"/>
          <w:szCs w:val="27"/>
        </w:rPr>
        <w:t xml:space="preserve">14.3 Nikt inny w lokalizacji nie może połączyć się z TASc6</w:t>
      </w:r>
    </w:p>
    <w:p>
      <w:pPr>
        <w:spacing w:after="200" w:line="300"/>
      </w:pPr>
      <w:r>
        <w:rPr>
          <w:rFonts w:ascii="Calibri" w:cs="Calibri" w:eastAsia="Calibri" w:hAnsi="Calibri"/>
          <w:color w:val="1F2937"/>
          <w:sz w:val="22"/>
          <w:szCs w:val="22"/>
        </w:rPr>
        <w:t xml:space="preserve">Sprawdź w tej kolejności:</w:t>
      </w:r>
    </w:p>
    <w:p>
      <w:pPr>
        <w:pStyle w:val="ListParagraph"/>
        <w:numPr>
          <w:ilvl w:val="0"/>
          <w:numId w:val="6"/>
        </w:numPr>
        <w:spacing w:after="120" w:line="290"/>
      </w:pPr>
      <w:r>
        <w:rPr>
          <w:rFonts w:ascii="Calibri" w:cs="Calibri" w:eastAsia="Calibri" w:hAnsi="Calibri"/>
          <w:color w:val="1F2937"/>
          <w:sz w:val="22"/>
          <w:szCs w:val="22"/>
        </w:rPr>
        <w:t xml:space="preserve">Czy komputer-host jest włączony, a ikona w obszarze powiadomień pokazuje, że TASc6 działa?</w:t>
      </w:r>
    </w:p>
    <w:p>
      <w:pPr>
        <w:pStyle w:val="ListParagraph"/>
        <w:numPr>
          <w:ilvl w:val="0"/>
          <w:numId w:val="6"/>
        </w:numPr>
        <w:spacing w:after="120" w:line="290"/>
      </w:pPr>
      <w:r>
        <w:rPr>
          <w:rFonts w:ascii="Calibri" w:cs="Calibri" w:eastAsia="Calibri" w:hAnsi="Calibri"/>
          <w:color w:val="1F2937"/>
          <w:sz w:val="22"/>
          <w:szCs w:val="22"/>
        </w:rPr>
        <w:t xml:space="preserve">Czy okno zapory Windows dla Node.js zostało zatwierdzone (zobacz 2.5)?</w:t>
      </w:r>
    </w:p>
    <w:p>
      <w:pPr>
        <w:pStyle w:val="ListParagraph"/>
        <w:numPr>
          <w:ilvl w:val="0"/>
          <w:numId w:val="6"/>
        </w:numPr>
        <w:spacing w:after="120" w:line="290"/>
      </w:pPr>
      <w:r>
        <w:rPr>
          <w:rFonts w:ascii="Calibri" w:cs="Calibri" w:eastAsia="Calibri" w:hAnsi="Calibri"/>
          <w:color w:val="1F2937"/>
          <w:sz w:val="22"/>
          <w:szCs w:val="22"/>
        </w:rPr>
        <w:t xml:space="preserve">Czy urządzenie próbujące się połączyć jest w tej samej sieci/VLAN co komputer-host?</w:t>
      </w:r>
    </w:p>
    <w:p>
      <w:pPr>
        <w:pStyle w:val="ListParagraph"/>
        <w:numPr>
          <w:ilvl w:val="0"/>
          <w:numId w:val="6"/>
        </w:numPr>
        <w:spacing w:after="120" w:line="290"/>
      </w:pPr>
      <w:r>
        <w:rPr>
          <w:rFonts w:ascii="Calibri" w:cs="Calibri" w:eastAsia="Calibri" w:hAnsi="Calibri"/>
          <w:color w:val="1F2937"/>
          <w:sz w:val="22"/>
          <w:szCs w:val="22"/>
        </w:rPr>
        <w:t xml:space="preserve">Czy używa stałego adresu komputera-hosta, a nie „localhost” (który działa zawsze tylko na samym komputerze-hoście)?</w:t>
      </w:r>
    </w:p>
    <w:p>
      <w:pPr>
        <w:pStyle w:val="ListParagraph"/>
        <w:numPr>
          <w:ilvl w:val="0"/>
          <w:numId w:val="6"/>
        </w:numPr>
        <w:spacing w:after="120" w:line="290"/>
      </w:pPr>
      <w:r>
        <w:rPr>
          <w:rFonts w:ascii="Calibri" w:cs="Calibri" w:eastAsia="Calibri" w:hAnsi="Calibri"/>
          <w:color w:val="1F2937"/>
          <w:sz w:val="22"/>
          <w:szCs w:val="22"/>
        </w:rPr>
        <w:t xml:space="preserve">W przypadku tabletu: czy sygnał Wi-Fi faktycznie jest obecny w tym miejscu bazy?</w:t>
      </w:r>
    </w:p>
    <w:p>
      <w:pPr>
        <w:pStyle w:val="Heading2"/>
        <w:spacing w:after="160" w:before="360"/>
      </w:pPr>
      <w:r>
        <w:rPr>
          <w:rFonts w:ascii="Calibri" w:cs="Calibri" w:eastAsia="Calibri" w:hAnsi="Calibri"/>
          <w:b/>
          <w:bCs/>
          <w:color w:val="1F2937"/>
          <w:sz w:val="27"/>
          <w:szCs w:val="27"/>
        </w:rPr>
        <w:t xml:space="preserve">14.4 Zapomniane hasło</w:t>
      </w:r>
    </w:p>
    <w:p>
      <w:pPr>
        <w:spacing w:after="200" w:line="300"/>
      </w:pPr>
      <w:r>
        <w:rPr>
          <w:rFonts w:ascii="Calibri" w:cs="Calibri" w:eastAsia="Calibri" w:hAnsi="Calibri"/>
          <w:color w:val="1F2937"/>
          <w:sz w:val="22"/>
          <w:szCs w:val="22"/>
        </w:rPr>
        <w:t xml:space="preserve">Tylko Admin może ustawić nowe hasło do Twojego konta — nie ma samodzielnego resetowania. Poproś administratora swojej lokalizacji, aby otworzył Users, edytował Twoje konto i ustawił nowe hasło.</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15. Uzyskiwanie pomocy</w:t>
      </w:r>
    </w:p>
    <w:p>
      <w:pPr>
        <w:spacing w:after="200" w:line="300"/>
      </w:pPr>
      <w:r>
        <w:rPr>
          <w:rFonts w:ascii="Calibri" w:cs="Calibri" w:eastAsia="Calibri" w:hAnsi="Calibri"/>
          <w:color w:val="1F2937"/>
          <w:sz w:val="22"/>
          <w:szCs w:val="22"/>
        </w:rPr>
        <w:t xml:space="preserve">Administrator Twojej lokalizacji jest pierwszym punktem kontaktu w codziennych sprawach — konta, lokalizacje, stanowiska i naczepy to rzeczy, które może zmienić bezpośrednio.</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3400"/>
        <w:gridCol w:w="5638"/>
      </w:tblGrid>
      <w:tr>
        <w:trPr>
          <w:tblHeader/>
        </w:trPr>
        <w:tc>
          <w:tcPr>
            <w:tcW w:type="dxa" w:w="34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Potrzeba</w:t>
            </w:r>
          </w:p>
        </w:tc>
        <w:tc>
          <w:tcPr>
            <w:tcW w:type="dxa" w:w="56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Kontakt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Pomoc przy instalacji</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licensing@tasc6.net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Licencje i odnowienia</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licensing@tasc6.net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Zapytania ogólne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info@tasc6.net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Wszystko inne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tasc6.net/contact.html</w:t>
            </w:r>
          </w:p>
        </w:tc>
      </w:tr>
    </w:tbl>
    <w:p>
      <w:pPr>
        <w:spacing w:after="200" w:line="300"/>
      </w:pPr>
      <w:r>
        <w:rPr>
          <w:rFonts w:ascii="Calibri" w:cs="Calibri" w:eastAsia="Calibri" w:hAnsi="Calibri"/>
          <w:color w:val="1F2937"/>
          <w:sz w:val="22"/>
          <w:szCs w:val="22"/>
        </w:rPr>
        <w:t xml:space="preserve">TASc6 jest tworzony i wspierany bezpośrednio przez zespół, który go buduje — jeśli w Twojej bazie coś nie działa, rozmawiasz z kimś, kto naprawdę może to naprawić, a nie z kolejką zgłoszeń.</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abstractNum>
  <w:abstractNum w:abstractNumId="3" w15:restartNumberingAfterBreak="0">
    <w:multiLevelType w:val="hybridMultilevel"/>
    <w:lvl w:ilvl="0" w15:tentative="1">
      <w:start w:val="1"/>
      <w:numFmt w:val="decimal"/>
      <w:lvlText w:val="%1."/>
      <w:lvlJc w:val="left"/>
      <w:pPr>
        <w:ind w:left="480" w:hanging="320"/>
      </w:pPr>
    </w:lvl>
  </w:abstractNum>
  <w:abstractNum w:abstractNumId="4" w15:restartNumberingAfterBreak="0">
    <w:multiLevelType w:val="hybridMultilevel"/>
    <w:lvl w:ilvl="0" w15:tentative="1">
      <w:start w:val="1"/>
      <w:numFmt w:val="decimal"/>
      <w:lvlText w:val="%1."/>
      <w:lvlJc w:val="left"/>
      <w:pPr>
        <w:ind w:left="480" w:hanging="320"/>
      </w:pPr>
    </w:lvl>
  </w:abstractNum>
  <w:abstractNum w:abstractNumId="5" w15:restartNumberingAfterBreak="0">
    <w:multiLevelType w:val="hybridMultilevel"/>
    <w:lvl w:ilvl="0" w15:tentative="1">
      <w:start w:val="1"/>
      <w:numFmt w:val="decimal"/>
      <w:lvlText w:val="%1."/>
      <w:lvlJc w:val="left"/>
      <w:pPr>
        <w:ind w:left="480" w:hanging="320"/>
      </w:pPr>
    </w:lvl>
  </w:abstractNum>
  <w:abstractNum w:abstractNumId="6" w15:restartNumberingAfterBreak="0">
    <w:multiLevelType w:val="hybridMultilevel"/>
    <w:lvl w:ilvl="0" w15:tentative="1">
      <w:start w:val="1"/>
      <w:numFmt w:val="decimal"/>
      <w:lvlText w:val="%1."/>
      <w:lvlJc w:val="left"/>
      <w:pPr>
        <w:ind w:left="480" w:hanging="320"/>
      </w:pPr>
    </w:lvl>
  </w:abstractNum>
  <w:abstractNum w:abstractNumId="7" w15:restartNumberingAfterBreak="0">
    <w:multiLevelType w:val="hybridMultilevel"/>
    <w:lvl w:ilvl="0" w15:tentative="1">
      <w:start w:val="1"/>
      <w:numFmt w:val="decimal"/>
      <w:lvlText w:val="%1."/>
      <w:lvlJc w:val="left"/>
      <w:pPr>
        <w:ind w:left="480" w:hanging="320"/>
      </w:pPr>
    </w:lvl>
  </w:abstractNum>
  <w:abstractNum w:abstractNumId="8" w15:restartNumberingAfterBreak="0">
    <w:multiLevelType w:val="hybridMultilevel"/>
    <w:lvl w:ilvl="0" w15:tentative="1">
      <w:start w:val="1"/>
      <w:numFmt w:val="decimal"/>
      <w:lvlText w:val="%1."/>
      <w:lvlJc w:val="left"/>
      <w:pPr>
        <w:ind w:left="480" w:hanging="320"/>
      </w:pPr>
    </w:lvl>
  </w:abstractNum>
  <w:abstractNum w:abstractNumId="9" w15:restartNumberingAfterBreak="0">
    <w:multiLevelType w:val="hybridMultilevel"/>
    <w:lvl w:ilvl="0" w15:tentative="1">
      <w:start w:val="1"/>
      <w:numFmt w:val="decimal"/>
      <w:lvlText w:val="%1."/>
      <w:lvlJc w:val="left"/>
      <w:pPr>
        <w:ind w:left="480" w:hanging="320"/>
      </w:pPr>
    </w:lvl>
  </w:abstractNum>
  <w:abstractNum w:abstractNumId="10" w15:restartNumberingAfterBreak="0">
    <w:multiLevelType w:val="hybridMultilevel"/>
    <w:lvl w:ilvl="0" w15:tentative="1">
      <w:start w:val="1"/>
      <w:numFmt w:val="decimal"/>
      <w:lvlText w:val="%1."/>
      <w:lvlJc w:val="left"/>
      <w:pPr>
        <w:ind w:left="480" w:hanging="320"/>
      </w:pPr>
    </w:lvl>
  </w:abstractNum>
  <w:abstractNum w:abstractNumId="11" w15:restartNumberingAfterBreak="0">
    <w:multiLevelType w:val="hybridMultilevel"/>
    <w:lvl w:ilvl="0" w15:tentative="1">
      <w:start w:val="1"/>
      <w:numFmt w:val="decimal"/>
      <w:lvlText w:val="%1."/>
      <w:lvlJc w:val="left"/>
      <w:pPr>
        <w:ind w:left="480" w:hanging="320"/>
      </w:pPr>
    </w:lvl>
  </w:abstractNum>
  <w:abstractNum w:abstractNumId="12" w15:restartNumberingAfterBreak="0">
    <w:multiLevelType w:val="hybridMultilevel"/>
    <w:lvl w:ilvl="0" w15:tentative="1">
      <w:start w:val="1"/>
      <w:numFmt w:val="decimal"/>
      <w:lvlText w:val="%1."/>
      <w:lvlJc w:val="left"/>
      <w:pPr>
        <w:ind w:left="480" w:hanging="320"/>
      </w:pPr>
    </w:lvl>
  </w:abstractNum>
  <w:abstractNum w:abstractNumId="13" w15:restartNumberingAfterBreak="0">
    <w:multiLevelType w:val="hybridMultilevel"/>
    <w:lvl w:ilvl="0" w15:tentative="1">
      <w:start w:val="1"/>
      <w:numFmt w:val="decimal"/>
      <w:lvlText w:val="%1."/>
      <w:lvlJc w:val="left"/>
      <w:pPr>
        <w:ind w:left="480" w:hanging="320"/>
      </w:pPr>
    </w:lvl>
  </w:abstractNum>
  <w:abstractNum w:abstractNumId="14" w15:restartNumberingAfterBreak="0">
    <w:multiLevelType w:val="hybridMultilevel"/>
    <w:lvl w:ilvl="0" w15:tentative="1">
      <w:start w:val="1"/>
      <w:numFmt w:val="decimal"/>
      <w:lvlText w:val="%1."/>
      <w:lvlJc w:val="left"/>
      <w:pPr>
        <w:ind w:left="480" w:hanging="320"/>
      </w:pPr>
    </w:lvl>
  </w:abstractNum>
  <w:abstractNum w:abstractNumId="15" w15:restartNumberingAfterBreak="0">
    <w:multiLevelType w:val="hybridMultilevel"/>
    <w:lvl w:ilvl="0" w15:tentative="1">
      <w:start w:val="1"/>
      <w:numFmt w:val="decimal"/>
      <w:lvlText w:val="%1."/>
      <w:lvlJc w:val="left"/>
      <w:pPr>
        <w:ind w:left="480" w:hanging="320"/>
      </w:pPr>
    </w:lvl>
  </w:abstractNum>
  <w:abstractNum w:abstractNumId="16" w15:restartNumberingAfterBreak="0">
    <w:multiLevelType w:val="hybridMultilevel"/>
    <w:lvl w:ilvl="0" w15:tentative="1">
      <w:start w:val="1"/>
      <w:numFmt w:val="decimal"/>
      <w:lvlText w:val="%1."/>
      <w:lvlJc w:val="left"/>
      <w:pPr>
        <w:ind w:left="480" w:hanging="320"/>
      </w:pPr>
    </w:lvl>
  </w:abstractNum>
  <w:abstractNum w:abstractNumId="17" w15:restartNumberingAfterBreak="0">
    <w:multiLevelType w:val="hybridMultilevel"/>
    <w:lvl w:ilvl="0" w15:tentative="1">
      <w:start w:val="1"/>
      <w:numFmt w:val="decimal"/>
      <w:lvlText w:val="%1."/>
      <w:lvlJc w:val="left"/>
      <w:pPr>
        <w:ind w:left="480" w:hanging="320"/>
      </w:pPr>
    </w:lvl>
  </w:abstractNum>
  <w:abstractNum w:abstractNumId="18" w15:restartNumberingAfterBreak="0">
    <w:multiLevelType w:val="hybridMultilevel"/>
    <w:lvl w:ilvl="0" w15:tentative="1">
      <w:start w:val="1"/>
      <w:numFmt w:val="decimal"/>
      <w:lvlText w:val="%1."/>
      <w:lvlJc w:val="left"/>
      <w:pPr>
        <w:ind w:left="480" w:hanging="320"/>
      </w:pPr>
    </w:lvl>
  </w:abstractNum>
  <w:abstractNum w:abstractNumId="19" w15:restartNumberingAfterBreak="0">
    <w:multiLevelType w:val="hybridMultilevel"/>
    <w:lvl w:ilvl="0" w15:tentative="1">
      <w:start w:val="1"/>
      <w:numFmt w:val="decimal"/>
      <w:lvlText w:val="%1."/>
      <w:lvlJc w:val="left"/>
      <w:pPr>
        <w:ind w:left="480" w:hanging="320"/>
      </w:pPr>
    </w:lvl>
  </w:abstractNum>
  <w:abstractNum w:abstractNumId="20" w15:restartNumberingAfterBreak="0">
    <w:multiLevelType w:val="hybridMultilevel"/>
    <w:lvl w:ilvl="0" w15:tentative="1">
      <w:start w:val="1"/>
      <w:numFmt w:val="decimal"/>
      <w:lvlText w:val="%1."/>
      <w:lvlJc w:val="left"/>
      <w:pPr>
        <w:ind w:left="480" w:hanging="320"/>
      </w:pPr>
    </w:lvl>
  </w:abstractNum>
  <w:abstractNum w:abstractNumId="21" w15:restartNumberingAfterBreak="0">
    <w:multiLevelType w:val="hybridMultilevel"/>
    <w:lvl w:ilvl="0" w15:tentative="1">
      <w:start w:val="1"/>
      <w:numFmt w:val="decimal"/>
      <w:lvlText w:val="%1."/>
      <w:lvlJc w:val="left"/>
      <w:pPr>
        <w:ind w:left="480" w:hanging="320"/>
      </w:pPr>
    </w:lvl>
  </w:abstractNum>
  <w:abstractNum w:abstractNumId="22" w15:restartNumberingAfterBreak="0">
    <w:multiLevelType w:val="hybridMultilevel"/>
    <w:lvl w:ilvl="0" w15:tentative="1">
      <w:start w:val="1"/>
      <w:numFmt w:val="decimal"/>
      <w:lvlText w:val="%1."/>
      <w:lvlJc w:val="left"/>
      <w:pPr>
        <w:ind w:left="480" w:hanging="320"/>
      </w:pPr>
    </w:lvl>
  </w:abstractNum>
  <w:abstractNum w:abstractNumId="23" w15:restartNumberingAfterBreak="0">
    <w:multiLevelType w:val="hybridMultilevel"/>
    <w:lvl w:ilvl="0" w15:tentative="1">
      <w:start w:val="1"/>
      <w:numFmt w:val="decimal"/>
      <w:lvlText w:val="%1."/>
      <w:lvlJc w:val="left"/>
      <w:pPr>
        <w:ind w:left="480" w:hanging="320"/>
      </w:pPr>
    </w:lvl>
  </w:abstractNum>
  <w:abstractNum w:abstractNumId="24" w15:restartNumberingAfterBreak="0">
    <w:multiLevelType w:val="hybridMultilevel"/>
    <w:lvl w:ilvl="0" w15:tentative="1">
      <w:start w:val="1"/>
      <w:numFmt w:val="decimal"/>
      <w:lvlText w:val="%1."/>
      <w:lvlJc w:val="left"/>
      <w:pPr>
        <w:ind w:left="480" w:hanging="320"/>
      </w:pPr>
    </w:lvl>
  </w:abstractNum>
  <w:abstractNum w:abstractNumId="25" w15:restartNumberingAfterBreak="0">
    <w:multiLevelType w:val="hybridMultilevel"/>
    <w:lvl w:ilvl="0" w15:tentative="1">
      <w:start w:val="1"/>
      <w:numFmt w:val="decimal"/>
      <w:lvlText w:val="%1."/>
      <w:lvlJc w:val="left"/>
      <w:pPr>
        <w:ind w:left="480" w:hanging="320"/>
      </w:pPr>
    </w:lvl>
  </w:abstractNum>
  <w:abstractNum w:abstractNumId="26" w15:restartNumberingAfterBreak="0">
    <w:multiLevelType w:val="hybridMultilevel"/>
    <w:lvl w:ilvl="0" w15:tentative="1">
      <w:start w:val="1"/>
      <w:numFmt w:val="decimal"/>
      <w:lvlText w:val="%1."/>
      <w:lvlJc w:val="left"/>
      <w:pPr>
        <w:ind w:left="480" w:hanging="32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2"/>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lang w:val="pl-P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TASc6 Podręcznik użytkownika</dc:title>
  <dc:creator>TASc6 Ltd</dc:creator>
  <cp:lastModifiedBy>Un-named</cp:lastModifiedBy>
  <cp:revision>1</cp:revision>
  <dcterms:created xsi:type="dcterms:W3CDTF">2026-10-01T00:23:29.979Z</dcterms:created>
  <dcterms:modified xsi:type="dcterms:W3CDTF">2026-10-01T00:23:29.979Z</dcterms:modified>
</cp:coreProperties>
</file>

<file path=docProps/custom.xml><?xml version="1.0" encoding="utf-8"?>
<Properties xmlns="http://schemas.openxmlformats.org/officeDocument/2006/custom-properties" xmlns:vt="http://schemas.openxmlformats.org/officeDocument/2006/docPropsVTypes"/>
</file>